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C979A" w14:textId="77777777" w:rsidR="00B10AAF" w:rsidRDefault="00B10AAF" w:rsidP="00606130"/>
    <w:p w14:paraId="4990E9DD" w14:textId="77777777" w:rsidR="0055121D" w:rsidRDefault="0055121D" w:rsidP="0055121D">
      <w:pPr>
        <w:ind w:left="-360"/>
        <w:jc w:val="center"/>
        <w:rPr>
          <w:rFonts w:ascii="Arial" w:hAnsi="Arial" w:cs="Arial"/>
          <w:b/>
          <w:color w:val="1F497D"/>
          <w:sz w:val="44"/>
          <w:szCs w:val="44"/>
        </w:rPr>
      </w:pPr>
    </w:p>
    <w:p w14:paraId="3D38B6C9" w14:textId="77777777" w:rsidR="0055121D" w:rsidRDefault="0055121D" w:rsidP="0055121D">
      <w:pPr>
        <w:ind w:left="-360"/>
        <w:jc w:val="center"/>
        <w:rPr>
          <w:rFonts w:ascii="Arial" w:hAnsi="Arial" w:cs="Arial"/>
          <w:b/>
          <w:color w:val="1F497D"/>
          <w:sz w:val="44"/>
          <w:szCs w:val="44"/>
        </w:rPr>
      </w:pPr>
    </w:p>
    <w:p w14:paraId="19DBF0D0" w14:textId="77777777" w:rsidR="0055121D" w:rsidRDefault="0055121D" w:rsidP="0055121D">
      <w:pPr>
        <w:ind w:left="-360"/>
        <w:jc w:val="center"/>
        <w:rPr>
          <w:rFonts w:ascii="Arial" w:hAnsi="Arial" w:cs="Arial"/>
          <w:b/>
          <w:color w:val="1F497D"/>
          <w:sz w:val="44"/>
          <w:szCs w:val="44"/>
        </w:rPr>
      </w:pPr>
    </w:p>
    <w:p w14:paraId="1B793627" w14:textId="55903F5F" w:rsidR="0055121D" w:rsidRPr="00602443" w:rsidRDefault="0055121D" w:rsidP="0055121D">
      <w:pPr>
        <w:ind w:left="-360"/>
        <w:jc w:val="center"/>
        <w:rPr>
          <w:rFonts w:ascii="Tenorite" w:hAnsi="Tenorite" w:cs="Arial"/>
          <w:b/>
          <w:color w:val="1F497D"/>
          <w:sz w:val="44"/>
          <w:szCs w:val="44"/>
        </w:rPr>
      </w:pPr>
      <w:r w:rsidRPr="00602443">
        <w:rPr>
          <w:rFonts w:ascii="Tenorite" w:hAnsi="Tenorite" w:cs="Arial"/>
          <w:b/>
          <w:color w:val="1F497D"/>
          <w:sz w:val="44"/>
          <w:szCs w:val="44"/>
        </w:rPr>
        <w:t>American Institute of</w:t>
      </w:r>
    </w:p>
    <w:p w14:paraId="141F3197" w14:textId="77777777" w:rsidR="0055121D" w:rsidRPr="00602443" w:rsidRDefault="0055121D" w:rsidP="0055121D">
      <w:pPr>
        <w:ind w:left="-360"/>
        <w:jc w:val="center"/>
        <w:rPr>
          <w:rFonts w:ascii="Tenorite" w:hAnsi="Tenorite" w:cs="Arial"/>
          <w:b/>
          <w:color w:val="1F497D"/>
          <w:sz w:val="44"/>
          <w:szCs w:val="44"/>
        </w:rPr>
      </w:pPr>
      <w:r w:rsidRPr="00602443">
        <w:rPr>
          <w:rFonts w:ascii="Tenorite" w:hAnsi="Tenorite" w:cs="Arial"/>
          <w:b/>
          <w:color w:val="1F497D"/>
          <w:sz w:val="44"/>
          <w:szCs w:val="44"/>
        </w:rPr>
        <w:t>Aeronautics and Astronautics</w:t>
      </w:r>
    </w:p>
    <w:p w14:paraId="275304C1" w14:textId="77777777" w:rsidR="0055121D" w:rsidRPr="00602443" w:rsidRDefault="0055121D" w:rsidP="0055121D">
      <w:pPr>
        <w:ind w:left="-360"/>
        <w:jc w:val="center"/>
        <w:rPr>
          <w:rFonts w:ascii="Tenorite" w:hAnsi="Tenorite" w:cs="Arial"/>
          <w:b/>
          <w:color w:val="1F497D"/>
          <w:sz w:val="44"/>
          <w:szCs w:val="44"/>
        </w:rPr>
      </w:pPr>
    </w:p>
    <w:p w14:paraId="32CCB98F" w14:textId="40A2242F" w:rsidR="0055121D" w:rsidRPr="00602443" w:rsidRDefault="0055121D" w:rsidP="0055121D">
      <w:pPr>
        <w:ind w:left="-360"/>
        <w:jc w:val="center"/>
        <w:rPr>
          <w:rFonts w:ascii="Tenorite" w:hAnsi="Tenorite" w:cs="Arial"/>
          <w:b/>
          <w:color w:val="1F497D"/>
          <w:sz w:val="44"/>
          <w:szCs w:val="44"/>
        </w:rPr>
      </w:pPr>
      <w:r w:rsidRPr="00602443">
        <w:rPr>
          <w:rFonts w:ascii="Tenorite" w:hAnsi="Tenorite" w:cs="Arial"/>
          <w:b/>
          <w:color w:val="1F497D"/>
          <w:sz w:val="44"/>
          <w:szCs w:val="44"/>
        </w:rPr>
        <w:t xml:space="preserve">Policies and Procedures for the </w:t>
      </w:r>
    </w:p>
    <w:p w14:paraId="184DE8D6" w14:textId="261FF37D" w:rsidR="0055121D" w:rsidRPr="00602443" w:rsidRDefault="0055121D" w:rsidP="0055121D">
      <w:pPr>
        <w:ind w:left="-360"/>
        <w:jc w:val="center"/>
        <w:rPr>
          <w:rFonts w:ascii="Tenorite" w:hAnsi="Tenorite" w:cs="Arial"/>
          <w:b/>
          <w:color w:val="1F497D"/>
          <w:sz w:val="44"/>
          <w:szCs w:val="44"/>
        </w:rPr>
      </w:pPr>
      <w:r w:rsidRPr="00602443">
        <w:rPr>
          <w:rFonts w:ascii="Tenorite" w:hAnsi="Tenorite" w:cs="Arial"/>
          <w:b/>
          <w:color w:val="1F497D"/>
          <w:sz w:val="44"/>
          <w:szCs w:val="44"/>
        </w:rPr>
        <w:t xml:space="preserve">Technical Activities Division (TAD) </w:t>
      </w:r>
    </w:p>
    <w:p w14:paraId="6780B58D" w14:textId="24261E0E" w:rsidR="00FC52E9" w:rsidRPr="00602443" w:rsidRDefault="00FC52E9" w:rsidP="00FC52E9">
      <w:pPr>
        <w:ind w:left="-360"/>
        <w:jc w:val="center"/>
        <w:rPr>
          <w:rFonts w:ascii="Tenorite" w:hAnsi="Tenorite" w:cs="Arial"/>
          <w:b/>
          <w:color w:val="1F497D"/>
          <w:sz w:val="36"/>
          <w:szCs w:val="36"/>
        </w:rPr>
      </w:pPr>
      <w:r w:rsidRPr="00602443">
        <w:rPr>
          <w:rFonts w:ascii="Tenorite" w:hAnsi="Tenorite" w:cs="Arial"/>
          <w:b/>
          <w:color w:val="1F497D"/>
          <w:sz w:val="36"/>
          <w:szCs w:val="36"/>
        </w:rPr>
        <w:t xml:space="preserve">Version </w:t>
      </w:r>
      <w:r w:rsidR="00602443">
        <w:rPr>
          <w:rFonts w:ascii="Tenorite" w:hAnsi="Tenorite" w:cs="Arial"/>
          <w:b/>
          <w:color w:val="1F497D"/>
          <w:sz w:val="36"/>
          <w:szCs w:val="36"/>
        </w:rPr>
        <w:t>3</w:t>
      </w:r>
      <w:r w:rsidRPr="00602443">
        <w:rPr>
          <w:rFonts w:ascii="Tenorite" w:hAnsi="Tenorite" w:cs="Arial"/>
          <w:b/>
          <w:color w:val="1F497D"/>
          <w:sz w:val="36"/>
          <w:szCs w:val="36"/>
        </w:rPr>
        <w:t>.0</w:t>
      </w:r>
    </w:p>
    <w:p w14:paraId="7FEA2950" w14:textId="77777777" w:rsidR="0055121D" w:rsidRPr="00602443" w:rsidRDefault="0055121D" w:rsidP="0055121D">
      <w:pPr>
        <w:ind w:left="-360"/>
        <w:jc w:val="center"/>
        <w:rPr>
          <w:rFonts w:ascii="Tenorite" w:hAnsi="Tenorite" w:cs="Arial"/>
          <w:b/>
          <w:color w:val="1F497D"/>
          <w:sz w:val="44"/>
          <w:szCs w:val="44"/>
        </w:rPr>
      </w:pPr>
    </w:p>
    <w:p w14:paraId="553FDE84" w14:textId="44DA55B1" w:rsidR="0055121D" w:rsidRPr="00602443" w:rsidRDefault="00602443" w:rsidP="0055121D">
      <w:pPr>
        <w:ind w:left="-360"/>
        <w:jc w:val="center"/>
        <w:rPr>
          <w:rFonts w:ascii="Tenorite" w:hAnsi="Tenorite" w:cs="Arial"/>
          <w:b/>
          <w:color w:val="1F497D"/>
          <w:sz w:val="44"/>
          <w:szCs w:val="44"/>
        </w:rPr>
      </w:pPr>
      <w:r>
        <w:rPr>
          <w:rFonts w:ascii="Tenorite" w:hAnsi="Tenorite" w:cs="Arial"/>
          <w:b/>
          <w:color w:val="1F497D"/>
          <w:sz w:val="44"/>
          <w:szCs w:val="44"/>
        </w:rPr>
        <w:t>March</w:t>
      </w:r>
      <w:r w:rsidR="003366C9" w:rsidRPr="00602443">
        <w:rPr>
          <w:rFonts w:ascii="Tenorite" w:hAnsi="Tenorite" w:cs="Arial"/>
          <w:b/>
          <w:color w:val="1F497D"/>
          <w:sz w:val="44"/>
          <w:szCs w:val="44"/>
        </w:rPr>
        <w:t xml:space="preserve"> </w:t>
      </w:r>
      <w:r w:rsidR="0055121D" w:rsidRPr="00602443">
        <w:rPr>
          <w:rFonts w:ascii="Tenorite" w:hAnsi="Tenorite" w:cs="Arial"/>
          <w:b/>
          <w:color w:val="1F497D"/>
          <w:sz w:val="44"/>
          <w:szCs w:val="44"/>
        </w:rPr>
        <w:t>202</w:t>
      </w:r>
      <w:r>
        <w:rPr>
          <w:rFonts w:ascii="Tenorite" w:hAnsi="Tenorite" w:cs="Arial"/>
          <w:b/>
          <w:color w:val="1F497D"/>
          <w:sz w:val="44"/>
          <w:szCs w:val="44"/>
        </w:rPr>
        <w:t>6</w:t>
      </w:r>
    </w:p>
    <w:p w14:paraId="2AD136F2" w14:textId="77777777" w:rsidR="00B10AAF" w:rsidRPr="00602443" w:rsidRDefault="00B10AAF" w:rsidP="00233F7B">
      <w:pPr>
        <w:pStyle w:val="Heading1"/>
        <w:numPr>
          <w:ilvl w:val="0"/>
          <w:numId w:val="0"/>
        </w:numPr>
        <w:ind w:left="432" w:hanging="432"/>
        <w:rPr>
          <w:rFonts w:ascii="Tenorite" w:hAnsi="Tenorite"/>
        </w:rPr>
      </w:pPr>
    </w:p>
    <w:p w14:paraId="29C895A3" w14:textId="77777777" w:rsidR="00B10AAF" w:rsidRDefault="00B10AAF" w:rsidP="00B10AAF"/>
    <w:p w14:paraId="33F71072" w14:textId="77777777" w:rsidR="00B10AAF" w:rsidRPr="00B10AAF" w:rsidRDefault="00B10AAF" w:rsidP="00940FF5">
      <w:pPr>
        <w:sectPr w:rsidR="00B10AAF" w:rsidRPr="00B10AAF">
          <w:headerReference w:type="default" r:id="rId8"/>
          <w:pgSz w:w="12240" w:h="15840"/>
          <w:pgMar w:top="1440" w:right="1440" w:bottom="1440" w:left="1440" w:header="720" w:footer="720" w:gutter="0"/>
          <w:cols w:space="720"/>
          <w:docGrid w:linePitch="360"/>
        </w:sectPr>
      </w:pPr>
    </w:p>
    <w:p w14:paraId="5CB826C7" w14:textId="43D41E65" w:rsidR="00593877" w:rsidRDefault="00593877" w:rsidP="00593877">
      <w:pPr>
        <w:pStyle w:val="Heading1"/>
        <w:numPr>
          <w:ilvl w:val="0"/>
          <w:numId w:val="0"/>
        </w:numPr>
        <w:ind w:left="432" w:hanging="432"/>
      </w:pPr>
      <w:r>
        <w:lastRenderedPageBreak/>
        <w:t>Document Change Record</w:t>
      </w:r>
    </w:p>
    <w:tbl>
      <w:tblPr>
        <w:tblStyle w:val="TableGrid"/>
        <w:tblW w:w="0" w:type="auto"/>
        <w:tblLook w:val="04A0" w:firstRow="1" w:lastRow="0" w:firstColumn="1" w:lastColumn="0" w:noHBand="0" w:noVBand="1"/>
      </w:tblPr>
      <w:tblGrid>
        <w:gridCol w:w="1705"/>
        <w:gridCol w:w="5580"/>
        <w:gridCol w:w="2065"/>
      </w:tblGrid>
      <w:tr w:rsidR="00593877" w14:paraId="10C20447" w14:textId="77777777" w:rsidTr="007D1E2D">
        <w:tc>
          <w:tcPr>
            <w:tcW w:w="1705" w:type="dxa"/>
          </w:tcPr>
          <w:p w14:paraId="5D7F7273" w14:textId="02ABACE0" w:rsidR="00593877" w:rsidRPr="007D1E2D" w:rsidRDefault="006D435B" w:rsidP="00593877">
            <w:pPr>
              <w:rPr>
                <w:b/>
                <w:bCs/>
              </w:rPr>
            </w:pPr>
            <w:r w:rsidRPr="007D1E2D">
              <w:rPr>
                <w:b/>
                <w:bCs/>
              </w:rPr>
              <w:t>Version</w:t>
            </w:r>
          </w:p>
        </w:tc>
        <w:tc>
          <w:tcPr>
            <w:tcW w:w="5580" w:type="dxa"/>
          </w:tcPr>
          <w:p w14:paraId="7D56914C" w14:textId="3CE031C0" w:rsidR="00593877" w:rsidRPr="007D1E2D" w:rsidRDefault="006D435B" w:rsidP="00593877">
            <w:pPr>
              <w:rPr>
                <w:b/>
                <w:bCs/>
              </w:rPr>
            </w:pPr>
            <w:r w:rsidRPr="007D1E2D">
              <w:rPr>
                <w:b/>
                <w:bCs/>
              </w:rPr>
              <w:t>Description of Change</w:t>
            </w:r>
          </w:p>
        </w:tc>
        <w:tc>
          <w:tcPr>
            <w:tcW w:w="2065" w:type="dxa"/>
          </w:tcPr>
          <w:p w14:paraId="7D11038C" w14:textId="05F511AC" w:rsidR="00593877" w:rsidRPr="007D1E2D" w:rsidRDefault="00FC52E9" w:rsidP="00593877">
            <w:pPr>
              <w:rPr>
                <w:b/>
                <w:bCs/>
              </w:rPr>
            </w:pPr>
            <w:r w:rsidRPr="007D1E2D">
              <w:rPr>
                <w:b/>
                <w:bCs/>
              </w:rPr>
              <w:t>Date</w:t>
            </w:r>
          </w:p>
        </w:tc>
      </w:tr>
      <w:tr w:rsidR="00593877" w14:paraId="6DC0C1CF" w14:textId="77777777" w:rsidTr="007D1E2D">
        <w:tc>
          <w:tcPr>
            <w:tcW w:w="1705" w:type="dxa"/>
          </w:tcPr>
          <w:p w14:paraId="7E2AD95A" w14:textId="177BD801" w:rsidR="00593877" w:rsidRDefault="00FC52E9" w:rsidP="00593877">
            <w:r>
              <w:t>1.0</w:t>
            </w:r>
          </w:p>
        </w:tc>
        <w:tc>
          <w:tcPr>
            <w:tcW w:w="5580" w:type="dxa"/>
          </w:tcPr>
          <w:p w14:paraId="4CE14F6D" w14:textId="02E15B47" w:rsidR="00593877" w:rsidRDefault="00FC52E9" w:rsidP="00593877">
            <w:r>
              <w:t>Reformatted prior version and updated content according to current practices.</w:t>
            </w:r>
          </w:p>
        </w:tc>
        <w:tc>
          <w:tcPr>
            <w:tcW w:w="2065" w:type="dxa"/>
          </w:tcPr>
          <w:p w14:paraId="7AB0DAA4" w14:textId="0816321A" w:rsidR="00593877" w:rsidRDefault="008C6827" w:rsidP="00593877">
            <w:r>
              <w:t>February</w:t>
            </w:r>
            <w:r w:rsidR="00FC52E9">
              <w:t xml:space="preserve"> 2024</w:t>
            </w:r>
          </w:p>
        </w:tc>
      </w:tr>
      <w:tr w:rsidR="00593877" w14:paraId="3CDBB2DE" w14:textId="77777777" w:rsidTr="007D1E2D">
        <w:tc>
          <w:tcPr>
            <w:tcW w:w="1705" w:type="dxa"/>
          </w:tcPr>
          <w:p w14:paraId="16D80256" w14:textId="6A64C8AD" w:rsidR="00593877" w:rsidRDefault="00307972" w:rsidP="00593877">
            <w:r>
              <w:t>2.0</w:t>
            </w:r>
          </w:p>
        </w:tc>
        <w:tc>
          <w:tcPr>
            <w:tcW w:w="5580" w:type="dxa"/>
          </w:tcPr>
          <w:p w14:paraId="77DE5283" w14:textId="0DA3DE89" w:rsidR="00593877" w:rsidRDefault="00307972" w:rsidP="00593877">
            <w:r>
              <w:t>Edited to update 3G language</w:t>
            </w:r>
          </w:p>
        </w:tc>
        <w:tc>
          <w:tcPr>
            <w:tcW w:w="2065" w:type="dxa"/>
          </w:tcPr>
          <w:p w14:paraId="2710716A" w14:textId="78C2D812" w:rsidR="00593877" w:rsidRDefault="00307972" w:rsidP="00593877">
            <w:r>
              <w:t>March 2025</w:t>
            </w:r>
          </w:p>
        </w:tc>
      </w:tr>
      <w:tr w:rsidR="00593877" w14:paraId="28EA1CA9" w14:textId="77777777" w:rsidTr="007D1E2D">
        <w:tc>
          <w:tcPr>
            <w:tcW w:w="1705" w:type="dxa"/>
          </w:tcPr>
          <w:p w14:paraId="5369D3CD" w14:textId="2DE8D8BD" w:rsidR="00593877" w:rsidRDefault="00602443" w:rsidP="00593877">
            <w:r>
              <w:t>3.0</w:t>
            </w:r>
          </w:p>
        </w:tc>
        <w:tc>
          <w:tcPr>
            <w:tcW w:w="5580" w:type="dxa"/>
          </w:tcPr>
          <w:p w14:paraId="1DEF418E" w14:textId="2C5DDE4C" w:rsidR="00593877" w:rsidRDefault="00E671FF" w:rsidP="00593877">
            <w:r>
              <w:t>Updated Formatting and logo; added clarifying language to TC roster size, sec. 3.2.1</w:t>
            </w:r>
          </w:p>
        </w:tc>
        <w:tc>
          <w:tcPr>
            <w:tcW w:w="2065" w:type="dxa"/>
          </w:tcPr>
          <w:p w14:paraId="7EB2B581" w14:textId="380D26FB" w:rsidR="00593877" w:rsidRDefault="00602443" w:rsidP="00593877">
            <w:r>
              <w:t>March 2026</w:t>
            </w:r>
          </w:p>
        </w:tc>
      </w:tr>
    </w:tbl>
    <w:p w14:paraId="4D42B2EB" w14:textId="77777777" w:rsidR="00593877" w:rsidRPr="00593877" w:rsidRDefault="00593877" w:rsidP="00593877"/>
    <w:p w14:paraId="097D5BFB" w14:textId="046974F2" w:rsidR="003366C9" w:rsidRDefault="003366C9">
      <w:r>
        <w:br w:type="page"/>
      </w:r>
    </w:p>
    <w:p w14:paraId="18C66586" w14:textId="6E09CFFF" w:rsidR="002814ED" w:rsidRDefault="00606130" w:rsidP="00606130">
      <w:pPr>
        <w:pStyle w:val="Heading1"/>
      </w:pPr>
      <w:r>
        <w:lastRenderedPageBreak/>
        <w:t>Technical Activities Division</w:t>
      </w:r>
    </w:p>
    <w:p w14:paraId="0E3186DF" w14:textId="77777777" w:rsidR="00606130" w:rsidRDefault="00606130" w:rsidP="00606130">
      <w:pPr>
        <w:pStyle w:val="Heading2"/>
      </w:pPr>
      <w:r>
        <w:t>Introduction</w:t>
      </w:r>
    </w:p>
    <w:p w14:paraId="07E57C25" w14:textId="2CC68E18" w:rsidR="00843392" w:rsidRDefault="00606130" w:rsidP="00C75C38">
      <w:pPr>
        <w:jc w:val="both"/>
      </w:pPr>
      <w:r w:rsidRPr="0036716A">
        <w:t xml:space="preserve">The </w:t>
      </w:r>
      <w:r w:rsidR="00843392">
        <w:t xml:space="preserve">AIAA </w:t>
      </w:r>
      <w:r w:rsidRPr="0036716A">
        <w:t xml:space="preserve">Technical Activities </w:t>
      </w:r>
      <w:r>
        <w:t>Division (TAD</w:t>
      </w:r>
      <w:r w:rsidRPr="0036716A">
        <w:t xml:space="preserve">) </w:t>
      </w:r>
      <w:r w:rsidR="00362073">
        <w:t>comprises</w:t>
      </w:r>
      <w:r w:rsidRPr="0036716A">
        <w:t xml:space="preserve"> </w:t>
      </w:r>
      <w:r w:rsidR="00843392">
        <w:t xml:space="preserve">member-driven </w:t>
      </w:r>
      <w:r>
        <w:t xml:space="preserve">technical activities </w:t>
      </w:r>
      <w:r w:rsidR="00843392">
        <w:t xml:space="preserve">in </w:t>
      </w:r>
      <w:r>
        <w:t>the I</w:t>
      </w:r>
      <w:r w:rsidRPr="0036716A">
        <w:t>nstitute</w:t>
      </w:r>
      <w:r w:rsidR="00362073">
        <w:t xml:space="preserve"> </w:t>
      </w:r>
      <w:r w:rsidR="00843392">
        <w:t xml:space="preserve">through AIAA’s Technical Committees (TCs). </w:t>
      </w:r>
      <w:r w:rsidR="00843392" w:rsidRPr="0095352E">
        <w:t>The Technical Committee</w:t>
      </w:r>
      <w:r w:rsidR="00843392">
        <w:t xml:space="preserve">s (TC) are the strategic infrastructure </w:t>
      </w:r>
      <w:r w:rsidR="00843392" w:rsidRPr="0095352E">
        <w:t xml:space="preserve">of AIAA’s technical activities. These committees cover all technical interests of the Institute. </w:t>
      </w:r>
      <w:r w:rsidR="00843392">
        <w:t>TAD’</w:t>
      </w:r>
      <w:r w:rsidR="00843392" w:rsidRPr="0095352E">
        <w:t>s role is to help organize and coordinate the efforts of the various TCs to facilitate technical activities</w:t>
      </w:r>
      <w:r w:rsidR="00AE68E1">
        <w:t xml:space="preserve"> in support of AIAA products</w:t>
      </w:r>
      <w:r w:rsidR="00843392" w:rsidRPr="0095352E">
        <w:t>.</w:t>
      </w:r>
      <w:r w:rsidR="00843392">
        <w:t xml:space="preserve"> </w:t>
      </w:r>
    </w:p>
    <w:p w14:paraId="024CE747" w14:textId="00CAC5F8" w:rsidR="00606130" w:rsidRPr="0095352E" w:rsidRDefault="00843392" w:rsidP="00C75C38">
      <w:pPr>
        <w:jc w:val="both"/>
      </w:pPr>
      <w:r>
        <w:t>TC responsibilities include man</w:t>
      </w:r>
      <w:r w:rsidR="00EF6CAE">
        <w:t xml:space="preserve">aging </w:t>
      </w:r>
      <w:r w:rsidR="00606130" w:rsidRPr="0036716A">
        <w:t xml:space="preserve">technical </w:t>
      </w:r>
      <w:r w:rsidR="00606130">
        <w:t>sessions at conferences</w:t>
      </w:r>
      <w:r w:rsidR="00EF6CAE">
        <w:t>, managing technical awards to recognize prominent members of the aerospace profession,</w:t>
      </w:r>
      <w:r w:rsidR="00606130" w:rsidRPr="0036716A">
        <w:t xml:space="preserve"> and </w:t>
      </w:r>
      <w:r w:rsidR="00EF6CAE">
        <w:t>provid</w:t>
      </w:r>
      <w:r w:rsidR="00B3179D">
        <w:t>ing</w:t>
      </w:r>
      <w:r w:rsidR="00EF6CAE">
        <w:t xml:space="preserve"> </w:t>
      </w:r>
      <w:r w:rsidR="00606130" w:rsidRPr="0036716A">
        <w:t xml:space="preserve">technical inputs to other Institute activities. </w:t>
      </w:r>
      <w:r w:rsidR="00EF6CAE">
        <w:t xml:space="preserve">TAD and its TCs are responsible for ensuring </w:t>
      </w:r>
      <w:r w:rsidR="00606130" w:rsidRPr="0036716A">
        <w:t xml:space="preserve">all </w:t>
      </w:r>
      <w:r w:rsidR="00EF6CAE">
        <w:t xml:space="preserve">technical </w:t>
      </w:r>
      <w:r w:rsidR="00606130" w:rsidRPr="0036716A">
        <w:t xml:space="preserve">activities are appropriate to and in the best </w:t>
      </w:r>
      <w:r w:rsidR="00606130">
        <w:t>interest</w:t>
      </w:r>
      <w:r w:rsidR="00EF6CAE">
        <w:t>s</w:t>
      </w:r>
      <w:r w:rsidR="00606130">
        <w:t xml:space="preserve"> of the AIAA membership</w:t>
      </w:r>
      <w:r w:rsidR="007B3F42">
        <w:t xml:space="preserve"> and the aerospace industry</w:t>
      </w:r>
      <w:r w:rsidR="00EF6CAE">
        <w:t>. TAD and its TCs are also tasked with identifying emerging and next-generation technical areas in an evolving aerospace industry.</w:t>
      </w:r>
      <w:r w:rsidR="00606130" w:rsidRPr="0036716A">
        <w:t xml:space="preserve">   </w:t>
      </w:r>
    </w:p>
    <w:p w14:paraId="5B512E7C" w14:textId="06F0F489" w:rsidR="00606130" w:rsidRPr="00456C17" w:rsidRDefault="00606130" w:rsidP="00C75C38">
      <w:pPr>
        <w:jc w:val="both"/>
      </w:pPr>
      <w:r>
        <w:t>TAD</w:t>
      </w:r>
      <w:r w:rsidRPr="0095352E">
        <w:t xml:space="preserve"> has the overall responsibilit</w:t>
      </w:r>
      <w:r w:rsidR="003719B3">
        <w:t xml:space="preserve">y, </w:t>
      </w:r>
      <w:r w:rsidRPr="0095352E">
        <w:t xml:space="preserve">subject to </w:t>
      </w:r>
      <w:r>
        <w:t xml:space="preserve">the Council of Directors (CoD) and </w:t>
      </w:r>
      <w:r w:rsidRPr="0095352E">
        <w:t xml:space="preserve">Board of </w:t>
      </w:r>
      <w:r>
        <w:t>Trustees (BoT)</w:t>
      </w:r>
      <w:r w:rsidRPr="0095352E">
        <w:t xml:space="preserve"> app</w:t>
      </w:r>
      <w:r>
        <w:t>rovals</w:t>
      </w:r>
      <w:r w:rsidR="003719B3">
        <w:t>,</w:t>
      </w:r>
      <w:r>
        <w:t xml:space="preserve"> for management of TC </w:t>
      </w:r>
      <w:r w:rsidRPr="0095352E">
        <w:t>activities including development and recommendations for policies and procedures relating to matters concerning technical activities, recommendations for the formation</w:t>
      </w:r>
      <w:r w:rsidR="008A1079">
        <w:t>, merger,</w:t>
      </w:r>
      <w:r w:rsidRPr="0095352E">
        <w:t xml:space="preserve"> or dissolution of technical committees, establishment of technical working groups</w:t>
      </w:r>
      <w:r w:rsidR="00BA29CC">
        <w:t>, and identifying TC members to represent TAD in AIAA activities requiring technical input</w:t>
      </w:r>
      <w:r w:rsidRPr="0095352E">
        <w:t>.</w:t>
      </w:r>
    </w:p>
    <w:p w14:paraId="547144E2" w14:textId="77777777" w:rsidR="00606130" w:rsidRDefault="00606130" w:rsidP="00606130">
      <w:pPr>
        <w:pStyle w:val="Heading2"/>
      </w:pPr>
      <w:r>
        <w:t>Organization</w:t>
      </w:r>
    </w:p>
    <w:p w14:paraId="0AAB4308" w14:textId="3F7E3E4C" w:rsidR="00D9105D" w:rsidRDefault="00906262" w:rsidP="00C75C38">
      <w:pPr>
        <w:jc w:val="both"/>
      </w:pPr>
      <w:r>
        <w:t>TAD</w:t>
      </w:r>
      <w:r w:rsidR="00606130">
        <w:t xml:space="preserve"> is </w:t>
      </w:r>
      <w:r w:rsidR="003719B3">
        <w:t>organized by</w:t>
      </w:r>
      <w:r w:rsidR="00606130" w:rsidRPr="0095352E">
        <w:t xml:space="preserve"> Technical Groups</w:t>
      </w:r>
      <w:r w:rsidR="003719B3">
        <w:t xml:space="preserve">, comprising </w:t>
      </w:r>
      <w:r w:rsidR="00D9105D">
        <w:t>Technical Committees (TCs)</w:t>
      </w:r>
      <w:r w:rsidR="003719B3">
        <w:t xml:space="preserve"> aligned by technical disciplines, and </w:t>
      </w:r>
      <w:r w:rsidR="00606130" w:rsidRPr="0095352E">
        <w:t xml:space="preserve">led by </w:t>
      </w:r>
      <w:r w:rsidR="00606130">
        <w:t>Group</w:t>
      </w:r>
      <w:r w:rsidR="00606130" w:rsidRPr="0095352E">
        <w:t xml:space="preserve"> Directors</w:t>
      </w:r>
      <w:r w:rsidR="005453B6">
        <w:t xml:space="preserve"> as specified by </w:t>
      </w:r>
      <w:r w:rsidR="00090111">
        <w:rPr>
          <w:rFonts w:cstheme="minorHAnsi"/>
        </w:rPr>
        <w:t>Section 3.3 in the AIAA Bylaws</w:t>
      </w:r>
      <w:r w:rsidR="003719B3">
        <w:t>.</w:t>
      </w:r>
      <w:r w:rsidR="00606130" w:rsidRPr="0095352E">
        <w:t xml:space="preserve"> </w:t>
      </w:r>
      <w:r w:rsidR="003719B3">
        <w:t xml:space="preserve">The Group Directors </w:t>
      </w:r>
      <w:r w:rsidR="00606130" w:rsidRPr="0095352E">
        <w:t xml:space="preserve">are elected by the </w:t>
      </w:r>
      <w:r w:rsidR="00606130">
        <w:t xml:space="preserve">AIAA </w:t>
      </w:r>
      <w:r w:rsidR="00606130" w:rsidRPr="0095352E">
        <w:t xml:space="preserve">membership for a term of three years. </w:t>
      </w:r>
      <w:r>
        <w:t>Group</w:t>
      </w:r>
      <w:r w:rsidR="00606130" w:rsidRPr="0095352E">
        <w:t xml:space="preserve"> Directors </w:t>
      </w:r>
      <w:r w:rsidR="00606130">
        <w:t>may</w:t>
      </w:r>
      <w:r w:rsidR="00606130" w:rsidRPr="0095352E">
        <w:t xml:space="preserve"> run for a</w:t>
      </w:r>
      <w:r w:rsidR="00606130">
        <w:t xml:space="preserve"> </w:t>
      </w:r>
      <w:r w:rsidR="00606130" w:rsidRPr="0095352E">
        <w:t>second term</w:t>
      </w:r>
      <w:r w:rsidR="00606130">
        <w:t>, which may or may not be consecutive</w:t>
      </w:r>
      <w:r w:rsidR="00606130" w:rsidRPr="0095352E">
        <w:t xml:space="preserve">.  </w:t>
      </w:r>
    </w:p>
    <w:p w14:paraId="4FE73174" w14:textId="41588746" w:rsidR="003719B3" w:rsidRDefault="003719B3" w:rsidP="00C75C38">
      <w:pPr>
        <w:jc w:val="both"/>
      </w:pPr>
      <w:r w:rsidRPr="0095352E">
        <w:t xml:space="preserve">The </w:t>
      </w:r>
      <w:r>
        <w:t xml:space="preserve">TAD Chief leads the Group Directors. The </w:t>
      </w:r>
      <w:r w:rsidR="00D9105D">
        <w:t xml:space="preserve">TAD </w:t>
      </w:r>
      <w:r>
        <w:t>Chief</w:t>
      </w:r>
      <w:r w:rsidRPr="0095352E">
        <w:t xml:space="preserve"> serves as </w:t>
      </w:r>
      <w:r>
        <w:t>TAD</w:t>
      </w:r>
      <w:r w:rsidRPr="0095352E">
        <w:t xml:space="preserve">’s representative to the </w:t>
      </w:r>
      <w:r>
        <w:t>Council</w:t>
      </w:r>
      <w:r w:rsidRPr="0095352E">
        <w:t xml:space="preserve"> of Directors</w:t>
      </w:r>
      <w:r>
        <w:t xml:space="preserve"> </w:t>
      </w:r>
      <w:r w:rsidR="00D9105D">
        <w:t>S</w:t>
      </w:r>
      <w:r>
        <w:t xml:space="preserve">teering </w:t>
      </w:r>
      <w:r w:rsidR="00D9105D">
        <w:t>C</w:t>
      </w:r>
      <w:r>
        <w:t>ommittee</w:t>
      </w:r>
      <w:r w:rsidR="00D9105D">
        <w:t xml:space="preserve"> (CSC)</w:t>
      </w:r>
      <w:r w:rsidRPr="0095352E">
        <w:t xml:space="preserve">. The </w:t>
      </w:r>
      <w:r>
        <w:t>TAD Chief</w:t>
      </w:r>
      <w:r w:rsidRPr="0095352E">
        <w:t xml:space="preserve"> is </w:t>
      </w:r>
      <w:r>
        <w:t>elected by the TAD membership (Group Directors and one vote per TC) for one three-year term</w:t>
      </w:r>
      <w:r w:rsidRPr="0095352E">
        <w:t xml:space="preserve">. </w:t>
      </w:r>
      <w:r>
        <w:t>The TAD Chief may, at their</w:t>
      </w:r>
      <w:r w:rsidRPr="00DC1DBE">
        <w:t xml:space="preserve"> discretion, assign one of the </w:t>
      </w:r>
      <w:r w:rsidR="00147EF7">
        <w:t>G</w:t>
      </w:r>
      <w:r w:rsidRPr="00DC1DBE">
        <w:t xml:space="preserve">roup </w:t>
      </w:r>
      <w:r w:rsidR="00147EF7">
        <w:t>D</w:t>
      </w:r>
      <w:r w:rsidRPr="00DC1DBE">
        <w:t>irectors</w:t>
      </w:r>
      <w:r>
        <w:t xml:space="preserve"> or a previous </w:t>
      </w:r>
      <w:r w:rsidR="00147EF7">
        <w:t>G</w:t>
      </w:r>
      <w:r>
        <w:t xml:space="preserve">roup </w:t>
      </w:r>
      <w:r w:rsidR="00147EF7">
        <w:t>D</w:t>
      </w:r>
      <w:r>
        <w:t>irector</w:t>
      </w:r>
      <w:r w:rsidRPr="00DC1DBE">
        <w:t xml:space="preserve"> to serve in the capacity Deputy </w:t>
      </w:r>
      <w:r>
        <w:t>TAD Chief</w:t>
      </w:r>
      <w:r w:rsidRPr="00DC1DBE">
        <w:t xml:space="preserve">.  In this capacity, the Deputy </w:t>
      </w:r>
      <w:r>
        <w:t>TAD Chief</w:t>
      </w:r>
      <w:r w:rsidRPr="00DC1DBE">
        <w:t xml:space="preserve"> will assist the </w:t>
      </w:r>
      <w:r>
        <w:t>TAD Chief in performing their</w:t>
      </w:r>
      <w:r w:rsidRPr="00DC1DBE">
        <w:t xml:space="preserve"> responsibilities as needed.</w:t>
      </w:r>
    </w:p>
    <w:p w14:paraId="2B080F0D" w14:textId="2A8B19DD" w:rsidR="00606130" w:rsidRPr="005A1872" w:rsidRDefault="00E64BEC" w:rsidP="00C75C38">
      <w:pPr>
        <w:jc w:val="both"/>
      </w:pPr>
      <w:r>
        <w:t xml:space="preserve">As specified by Section </w:t>
      </w:r>
      <w:r w:rsidR="00F53C55">
        <w:t>9.1</w:t>
      </w:r>
      <w:r>
        <w:t xml:space="preserve"> in the AIAA Bylaws, t</w:t>
      </w:r>
      <w:r w:rsidR="00606130" w:rsidRPr="0095352E">
        <w:t xml:space="preserve">he </w:t>
      </w:r>
      <w:r w:rsidR="00606130">
        <w:t xml:space="preserve">Group </w:t>
      </w:r>
      <w:r w:rsidR="00606130" w:rsidRPr="0095352E">
        <w:t>Directors</w:t>
      </w:r>
      <w:r w:rsidR="003719B3">
        <w:t xml:space="preserve"> and TAD Chief</w:t>
      </w:r>
      <w:r w:rsidR="00606130" w:rsidRPr="0095352E">
        <w:t xml:space="preserve"> </w:t>
      </w:r>
      <w:r w:rsidR="003719B3">
        <w:t xml:space="preserve">are members of the </w:t>
      </w:r>
      <w:r w:rsidR="00606130" w:rsidRPr="0095352E">
        <w:t xml:space="preserve">AIAA </w:t>
      </w:r>
      <w:r w:rsidR="00606130">
        <w:t>Council</w:t>
      </w:r>
      <w:r w:rsidR="00606130" w:rsidRPr="0095352E">
        <w:t xml:space="preserve"> of Directors</w:t>
      </w:r>
      <w:r w:rsidR="00606130">
        <w:t xml:space="preserve"> and </w:t>
      </w:r>
      <w:r w:rsidR="00606130" w:rsidRPr="005A1872">
        <w:t xml:space="preserve">are voting members of the TAD and the </w:t>
      </w:r>
      <w:r w:rsidR="003719B3">
        <w:t>Council of Directors</w:t>
      </w:r>
      <w:r w:rsidR="00606130" w:rsidRPr="005A1872">
        <w:t>.</w:t>
      </w:r>
    </w:p>
    <w:p w14:paraId="6F3629D4" w14:textId="7605351B" w:rsidR="00606130" w:rsidRDefault="00606130" w:rsidP="00C75C38">
      <w:pPr>
        <w:jc w:val="both"/>
      </w:pPr>
      <w:r w:rsidRPr="0095352E">
        <w:t xml:space="preserve">Deputy Directors for the Technical Groups are appointed by the </w:t>
      </w:r>
      <w:r w:rsidR="003719B3">
        <w:t xml:space="preserve">Group </w:t>
      </w:r>
      <w:r w:rsidRPr="0095352E">
        <w:t>Director</w:t>
      </w:r>
      <w:r w:rsidR="003719B3">
        <w:t>s</w:t>
      </w:r>
      <w:r w:rsidRPr="0095352E">
        <w:t xml:space="preserve"> on a yearly basis</w:t>
      </w:r>
      <w:r w:rsidR="00692BAE">
        <w:t xml:space="preserve">. </w:t>
      </w:r>
      <w:r w:rsidR="0016328B">
        <w:t>Each Group Director presents their Deputy Directors annually at the TAD meeting held in the August timeframe.</w:t>
      </w:r>
      <w:r w:rsidRPr="0095352E">
        <w:t xml:space="preserve"> </w:t>
      </w:r>
      <w:r w:rsidR="00FF7D7B">
        <w:t>T</w:t>
      </w:r>
      <w:r w:rsidRPr="0095352E">
        <w:t xml:space="preserve">he </w:t>
      </w:r>
      <w:r w:rsidR="003719B3">
        <w:t>TAD Chief</w:t>
      </w:r>
      <w:r w:rsidR="00FF7D7B">
        <w:t xml:space="preserve"> concurs with the appointment </w:t>
      </w:r>
      <w:r w:rsidR="00DC5FFE">
        <w:t>of Deputy Directors</w:t>
      </w:r>
      <w:r w:rsidRPr="0095352E">
        <w:t xml:space="preserve"> and present</w:t>
      </w:r>
      <w:r w:rsidR="00DC5FFE">
        <w:t>s the TAD organization chart</w:t>
      </w:r>
      <w:r w:rsidRPr="0095352E">
        <w:t xml:space="preserve"> as an information item to the </w:t>
      </w:r>
      <w:r>
        <w:t>Council of Directors.</w:t>
      </w:r>
    </w:p>
    <w:p w14:paraId="76FD2A40" w14:textId="3C69CEFD" w:rsidR="00606130" w:rsidRDefault="00606130" w:rsidP="00C75C38">
      <w:pPr>
        <w:jc w:val="both"/>
      </w:pPr>
      <w:r>
        <w:t>TAD</w:t>
      </w:r>
      <w:r w:rsidRPr="0095352E">
        <w:t xml:space="preserve"> maintains Subcommittees to execute various aspects of technical activities wor</w:t>
      </w:r>
      <w:r>
        <w:t>k.  Example Subcommittees include the</w:t>
      </w:r>
      <w:r w:rsidRPr="0095352E">
        <w:t xml:space="preserve"> </w:t>
      </w:r>
      <w:r>
        <w:t>TAD</w:t>
      </w:r>
      <w:r w:rsidRPr="0095352E">
        <w:t xml:space="preserve"> Executive Steering, </w:t>
      </w:r>
      <w:r>
        <w:t>Technical</w:t>
      </w:r>
      <w:r w:rsidRPr="0095352E">
        <w:t xml:space="preserve"> </w:t>
      </w:r>
      <w:r>
        <w:t>Integration, and Forums Integration Subcommittees</w:t>
      </w:r>
      <w:r w:rsidRPr="0095352E">
        <w:t xml:space="preserve">. </w:t>
      </w:r>
      <w:r>
        <w:t xml:space="preserve">The </w:t>
      </w:r>
      <w:r w:rsidR="003719B3">
        <w:t>TAD Chief</w:t>
      </w:r>
      <w:r>
        <w:t xml:space="preserve"> may, at their</w:t>
      </w:r>
      <w:r w:rsidRPr="00F55643">
        <w:t xml:space="preserve"> discretion, assign special duties to a </w:t>
      </w:r>
      <w:r>
        <w:t>TAD</w:t>
      </w:r>
      <w:r w:rsidRPr="00F55643">
        <w:t xml:space="preserve"> member for coordination or development of new activities or initiatives.</w:t>
      </w:r>
    </w:p>
    <w:p w14:paraId="694AC272" w14:textId="406252B4" w:rsidR="00606130" w:rsidRDefault="00606130" w:rsidP="00C75C38">
      <w:pPr>
        <w:jc w:val="both"/>
      </w:pPr>
      <w:r w:rsidRPr="00425C3F">
        <w:lastRenderedPageBreak/>
        <w:t xml:space="preserve">TAD maintains Liaisons with the various AIAA standing committees. Liaisons serve to coordinate institute business between TAD and other AIAA standing committees. </w:t>
      </w:r>
      <w:r>
        <w:t xml:space="preserve">The TAD Chief, in coordination with the TAD Executive Steering Subcommittee, may identify new liaisons or sunset existing </w:t>
      </w:r>
      <w:r w:rsidR="003719B3">
        <w:t>liaisons</w:t>
      </w:r>
      <w:r>
        <w:t>.</w:t>
      </w:r>
    </w:p>
    <w:p w14:paraId="74129083" w14:textId="77777777" w:rsidR="00606130" w:rsidRDefault="00606130" w:rsidP="00C75C38">
      <w:pPr>
        <w:pStyle w:val="Heading2"/>
        <w:jc w:val="both"/>
      </w:pPr>
      <w:r>
        <w:t>Operation</w:t>
      </w:r>
    </w:p>
    <w:p w14:paraId="073EF086" w14:textId="74B046D5" w:rsidR="00606130" w:rsidRPr="0095352E" w:rsidRDefault="00606130" w:rsidP="00C75C38">
      <w:pPr>
        <w:jc w:val="both"/>
      </w:pPr>
      <w:r>
        <w:t>The TAD</w:t>
      </w:r>
      <w:r w:rsidRPr="0095352E">
        <w:t xml:space="preserve"> </w:t>
      </w:r>
      <w:r>
        <w:t xml:space="preserve">may </w:t>
      </w:r>
      <w:r w:rsidR="00D9105D">
        <w:t>hold several meetings a year that include the TAD Chief, Group Directors, TC Chairs, Subcommittee Chairs, and TAD Liaisons</w:t>
      </w:r>
      <w:r>
        <w:t>.</w:t>
      </w:r>
      <w:r w:rsidRPr="0095352E">
        <w:t xml:space="preserve">  </w:t>
      </w:r>
    </w:p>
    <w:p w14:paraId="149DECC5" w14:textId="77777777" w:rsidR="00606130" w:rsidRPr="0095352E" w:rsidRDefault="00D022D7" w:rsidP="00C75C38">
      <w:pPr>
        <w:pStyle w:val="Heading3"/>
        <w:jc w:val="both"/>
      </w:pPr>
      <w:r>
        <w:t>AIAA Forums</w:t>
      </w:r>
    </w:p>
    <w:p w14:paraId="0990FBDD" w14:textId="2EF7D5A7" w:rsidR="00606130" w:rsidRPr="001D5646" w:rsidRDefault="00606130" w:rsidP="00C75C38">
      <w:pPr>
        <w:jc w:val="both"/>
      </w:pPr>
      <w:r w:rsidRPr="0095352E">
        <w:t xml:space="preserve">AIAA plans, organizes, and operates technical meetings, some in cooperation with other technical and professional societies or government agencies.  TC members are responsible for </w:t>
      </w:r>
      <w:r>
        <w:t xml:space="preserve">providing and managing </w:t>
      </w:r>
      <w:r w:rsidRPr="0095352E">
        <w:t>the technical program content</w:t>
      </w:r>
      <w:r w:rsidR="00314693">
        <w:t>, includ</w:t>
      </w:r>
      <w:r w:rsidR="00196D2B">
        <w:t>ing</w:t>
      </w:r>
      <w:r w:rsidR="00314693">
        <w:t xml:space="preserve"> technical papers</w:t>
      </w:r>
      <w:r w:rsidR="00A1730B">
        <w:t xml:space="preserve"> as well as </w:t>
      </w:r>
      <w:r w:rsidR="00196D2B">
        <w:t>special sessions (e.g., plenaries, panel discussions, and awards lectures)</w:t>
      </w:r>
      <w:r w:rsidR="00A1730B">
        <w:t xml:space="preserve"> proposed by TCs through the Call for Content</w:t>
      </w:r>
      <w:r w:rsidRPr="0095352E">
        <w:t>.</w:t>
      </w:r>
      <w:r>
        <w:t xml:space="preserve">  </w:t>
      </w:r>
    </w:p>
    <w:p w14:paraId="1A1B0CE7" w14:textId="77777777" w:rsidR="00606130" w:rsidRPr="0036716A" w:rsidRDefault="00606130" w:rsidP="00C75C38">
      <w:pPr>
        <w:pStyle w:val="Heading3"/>
        <w:jc w:val="both"/>
      </w:pPr>
      <w:r w:rsidRPr="0036716A">
        <w:t>Honors and Awards</w:t>
      </w:r>
    </w:p>
    <w:p w14:paraId="6DA41F44" w14:textId="5440898D" w:rsidR="00606130" w:rsidRDefault="00606130" w:rsidP="00C75C38">
      <w:pPr>
        <w:jc w:val="both"/>
      </w:pPr>
      <w:r w:rsidRPr="0036716A">
        <w:t>Technical awards honor significant achievement</w:t>
      </w:r>
      <w:r w:rsidR="00D9105D">
        <w:t>s</w:t>
      </w:r>
      <w:r w:rsidRPr="0036716A">
        <w:t xml:space="preserve"> in specific fields of aerospace technical expertise</w:t>
      </w:r>
      <w:r w:rsidR="00D9105D">
        <w:t xml:space="preserve">. </w:t>
      </w:r>
      <w:r>
        <w:t xml:space="preserve">Each </w:t>
      </w:r>
      <w:r w:rsidR="00D9105D">
        <w:t>TC</w:t>
      </w:r>
      <w:r>
        <w:t xml:space="preserve"> or group of </w:t>
      </w:r>
      <w:r w:rsidR="00D9105D">
        <w:t xml:space="preserve">TCs managing a technical award is responsible for maintaining an up-to-date charter describing the scope of the award and the </w:t>
      </w:r>
      <w:r>
        <w:t xml:space="preserve">process for naming the awardee. </w:t>
      </w:r>
      <w:r w:rsidR="00D9105D">
        <w:t>Management of the technical awards and charters is coordinated with AIAA’s Honors &amp; Awards Committee (HAC).</w:t>
      </w:r>
    </w:p>
    <w:p w14:paraId="4C38CA70" w14:textId="1859F4BE" w:rsidR="00D9105D" w:rsidRPr="00D022D7" w:rsidRDefault="00D9105D" w:rsidP="00C75C38">
      <w:pPr>
        <w:jc w:val="both"/>
      </w:pPr>
      <w:r>
        <w:t>The r</w:t>
      </w:r>
      <w:r w:rsidRPr="0036716A">
        <w:t xml:space="preserve">esponsibility for </w:t>
      </w:r>
      <w:r>
        <w:t>administering</w:t>
      </w:r>
      <w:r w:rsidRPr="0036716A">
        <w:t xml:space="preserve"> </w:t>
      </w:r>
      <w:r>
        <w:t xml:space="preserve">a </w:t>
      </w:r>
      <w:r w:rsidRPr="0036716A">
        <w:t>technical award resides with one or more specific</w:t>
      </w:r>
      <w:r>
        <w:t xml:space="preserve"> AIAA TCs</w:t>
      </w:r>
      <w:r w:rsidRPr="0036716A">
        <w:t xml:space="preserve"> as defined in the award </w:t>
      </w:r>
      <w:r>
        <w:t>charter</w:t>
      </w:r>
      <w:r w:rsidRPr="0036716A">
        <w:t xml:space="preserve">. TCs are charged with actively maintaining the award in terms of nominations, currency of award scope, </w:t>
      </w:r>
      <w:r w:rsidR="00546908">
        <w:t xml:space="preserve">and selection </w:t>
      </w:r>
      <w:r w:rsidRPr="0036716A">
        <w:t>process</w:t>
      </w:r>
      <w:r w:rsidR="00546908">
        <w:t xml:space="preserve">. The TC is responsible for reviewing and selecting the recipient(s) of their award according to the award charter. </w:t>
      </w:r>
    </w:p>
    <w:p w14:paraId="4C505842" w14:textId="7057CA59" w:rsidR="00606130" w:rsidRPr="0036716A" w:rsidRDefault="00D9105D" w:rsidP="00C75C38">
      <w:pPr>
        <w:jc w:val="both"/>
      </w:pPr>
      <w:r>
        <w:t xml:space="preserve">The cognizant Group Director is responsible for approving the TC’s selected </w:t>
      </w:r>
      <w:r w:rsidR="008D1BCB">
        <w:t xml:space="preserve">award </w:t>
      </w:r>
      <w:r>
        <w:t xml:space="preserve">recipient(s). </w:t>
      </w:r>
      <w:r w:rsidR="00606130">
        <w:t>AIAA staff coordinate the recognition program for Technical Award winners with input</w:t>
      </w:r>
      <w:r>
        <w:t>s</w:t>
      </w:r>
      <w:r w:rsidR="00606130">
        <w:t xml:space="preserve"> from </w:t>
      </w:r>
      <w:r>
        <w:t xml:space="preserve">TAD and </w:t>
      </w:r>
      <w:r w:rsidR="00606130">
        <w:t xml:space="preserve">the </w:t>
      </w:r>
      <w:r>
        <w:t>HAC.</w:t>
      </w:r>
    </w:p>
    <w:p w14:paraId="3530F41E" w14:textId="77777777" w:rsidR="00606130" w:rsidRDefault="00606130" w:rsidP="00C75C38">
      <w:pPr>
        <w:pStyle w:val="Heading3"/>
        <w:jc w:val="both"/>
      </w:pPr>
      <w:r>
        <w:t>Public Policy</w:t>
      </w:r>
    </w:p>
    <w:p w14:paraId="3300ED31" w14:textId="77777777" w:rsidR="00390CA9" w:rsidRDefault="00606130" w:rsidP="00C75C38">
      <w:pPr>
        <w:jc w:val="both"/>
      </w:pPr>
      <w:r w:rsidRPr="00A649D3">
        <w:t xml:space="preserve">As the world’s largest aerospace professional society, the </w:t>
      </w:r>
      <w:r w:rsidR="00546908">
        <w:t>AIAA</w:t>
      </w:r>
      <w:r w:rsidRPr="00A649D3">
        <w:t xml:space="preserve"> has an important role in the national public policy debate. AIAA public policy papers are </w:t>
      </w:r>
      <w:r w:rsidR="00546908">
        <w:t>used</w:t>
      </w:r>
      <w:r w:rsidRPr="00A649D3">
        <w:t xml:space="preserve"> to convey educational and informational material and may express opinions of and recommendations for action by the government (</w:t>
      </w:r>
      <w:r w:rsidR="00546908">
        <w:t xml:space="preserve">e.g., </w:t>
      </w:r>
      <w:r w:rsidRPr="00A649D3">
        <w:t xml:space="preserve">the U.S. Congress, executive branch departments/agencies, and state legislatures) to address issues of interest or concern to our members. They are a mechanism by which AIAA members contribute to crafting or implementing government solutions to problems. </w:t>
      </w:r>
    </w:p>
    <w:p w14:paraId="02098241" w14:textId="239620B3" w:rsidR="00606130" w:rsidRDefault="00390CA9" w:rsidP="00C75C38">
      <w:pPr>
        <w:jc w:val="both"/>
      </w:pPr>
      <w:r>
        <w:t xml:space="preserve">Public policy papers may be informational or position papers. </w:t>
      </w:r>
      <w:r w:rsidR="00606130" w:rsidRPr="00A649D3">
        <w:t xml:space="preserve">Policy papers are developed and approved for distribution to external audiences according to the guidelines </w:t>
      </w:r>
      <w:r w:rsidR="00546908">
        <w:t xml:space="preserve">set </w:t>
      </w:r>
      <w:r w:rsidR="00606130" w:rsidRPr="00A649D3">
        <w:t>by the Public Policy Committee (PPC) and other applicable Institute stakeholders.</w:t>
      </w:r>
      <w:r w:rsidR="00606130">
        <w:t xml:space="preserve">  </w:t>
      </w:r>
    </w:p>
    <w:p w14:paraId="69706ABE" w14:textId="37D8F070" w:rsidR="00546908" w:rsidRDefault="00546908" w:rsidP="00C75C38">
      <w:pPr>
        <w:pStyle w:val="Heading3"/>
        <w:jc w:val="both"/>
      </w:pPr>
      <w:r>
        <w:t>TAD and AIAA Special Initiatives</w:t>
      </w:r>
    </w:p>
    <w:p w14:paraId="698D03B8" w14:textId="466BB03C" w:rsidR="00546908" w:rsidRPr="00546908" w:rsidRDefault="00843392" w:rsidP="00C75C38">
      <w:pPr>
        <w:jc w:val="both"/>
      </w:pPr>
      <w:r>
        <w:t>TAD and AIAA may identify special i</w:t>
      </w:r>
      <w:r w:rsidR="00EF6CAE">
        <w:t>nitiatives requiring the deep technical expertise provided by AIAA’s TCs. The TAD Executive Steering Committee is responsible for coordinating any special initiatives with the TCs.</w:t>
      </w:r>
    </w:p>
    <w:p w14:paraId="41D6A219" w14:textId="71446F58" w:rsidR="00606130" w:rsidRDefault="008077F1" w:rsidP="00C75C38">
      <w:pPr>
        <w:pStyle w:val="Heading1"/>
        <w:jc w:val="both"/>
      </w:pPr>
      <w:r>
        <w:lastRenderedPageBreak/>
        <w:t>TAD Subcommittees</w:t>
      </w:r>
    </w:p>
    <w:p w14:paraId="2DCECA3E" w14:textId="5B3F304A" w:rsidR="008077F1" w:rsidRDefault="008077F1" w:rsidP="00C75C38">
      <w:pPr>
        <w:pStyle w:val="Heading2"/>
        <w:jc w:val="both"/>
      </w:pPr>
      <w:r>
        <w:t>Executive Steering Subcommittee</w:t>
      </w:r>
      <w:r w:rsidR="002166D1">
        <w:t xml:space="preserve"> (ESS)</w:t>
      </w:r>
    </w:p>
    <w:p w14:paraId="209DCB26" w14:textId="4A4559D3" w:rsidR="00127DDD" w:rsidRDefault="00127DDD" w:rsidP="00C75C38">
      <w:pPr>
        <w:jc w:val="both"/>
      </w:pPr>
      <w:r w:rsidRPr="0036716A">
        <w:t xml:space="preserve">The </w:t>
      </w:r>
      <w:r>
        <w:t>TAD</w:t>
      </w:r>
      <w:r w:rsidRPr="0036716A">
        <w:t xml:space="preserve"> Executive Steering Committee </w:t>
      </w:r>
      <w:r w:rsidR="005539F9">
        <w:t xml:space="preserve">(ESS) </w:t>
      </w:r>
      <w:r w:rsidRPr="0036716A">
        <w:t xml:space="preserve">provides key guidance and continuity of activity for </w:t>
      </w:r>
      <w:r>
        <w:t>TAD</w:t>
      </w:r>
      <w:r w:rsidRPr="0036716A">
        <w:t xml:space="preserve"> through</w:t>
      </w:r>
      <w:r w:rsidR="004F712C">
        <w:t>out</w:t>
      </w:r>
      <w:r w:rsidRPr="0036716A">
        <w:t xml:space="preserve"> the year. </w:t>
      </w:r>
      <w:r w:rsidR="00D14A8E">
        <w:t>Th</w:t>
      </w:r>
      <w:r w:rsidR="003C3686">
        <w:t>e TAD ESS is referred to colloquially as the “TAD Exec.”</w:t>
      </w:r>
    </w:p>
    <w:p w14:paraId="2C2BA63C" w14:textId="256F4F7A" w:rsidR="008077F1" w:rsidRDefault="00127DDD" w:rsidP="00C75C38">
      <w:pPr>
        <w:pStyle w:val="Heading3"/>
        <w:jc w:val="both"/>
      </w:pPr>
      <w:r>
        <w:t>Organization</w:t>
      </w:r>
    </w:p>
    <w:p w14:paraId="146BD6FF" w14:textId="621652D8" w:rsidR="00127DDD" w:rsidRDefault="001B4355" w:rsidP="00C75C38">
      <w:pPr>
        <w:jc w:val="both"/>
      </w:pPr>
      <w:r w:rsidRPr="0036716A">
        <w:t xml:space="preserve">The </w:t>
      </w:r>
      <w:r w:rsidR="005539F9">
        <w:t>TAD ESS</w:t>
      </w:r>
      <w:r w:rsidR="005539F9" w:rsidRPr="0036716A">
        <w:t xml:space="preserve"> </w:t>
      </w:r>
      <w:r w:rsidRPr="0036716A">
        <w:t xml:space="preserve">is chaired by the </w:t>
      </w:r>
      <w:r w:rsidR="005539F9">
        <w:t>TAD Chief</w:t>
      </w:r>
      <w:r w:rsidRPr="0036716A">
        <w:t xml:space="preserve">. Members of the </w:t>
      </w:r>
      <w:r w:rsidR="005539F9">
        <w:t xml:space="preserve">TAD ESS </w:t>
      </w:r>
      <w:r>
        <w:t>include the Group Directors</w:t>
      </w:r>
      <w:r w:rsidRPr="0036716A">
        <w:t xml:space="preserve">, </w:t>
      </w:r>
      <w:r w:rsidR="005539F9">
        <w:t>S</w:t>
      </w:r>
      <w:r w:rsidRPr="0036716A">
        <w:t>ubcommittee chairs</w:t>
      </w:r>
      <w:r>
        <w:t xml:space="preserve">, </w:t>
      </w:r>
      <w:r w:rsidRPr="0036716A">
        <w:t>and the AIAA staff member</w:t>
      </w:r>
      <w:r w:rsidR="005539F9">
        <w:t>(</w:t>
      </w:r>
      <w:r w:rsidRPr="0036716A">
        <w:t>s</w:t>
      </w:r>
      <w:r w:rsidR="005539F9">
        <w:t>)</w:t>
      </w:r>
      <w:r w:rsidRPr="0036716A">
        <w:t xml:space="preserve"> supporting </w:t>
      </w:r>
      <w:r>
        <w:t>TAD</w:t>
      </w:r>
      <w:r w:rsidRPr="0036716A">
        <w:t>.</w:t>
      </w:r>
    </w:p>
    <w:p w14:paraId="7F2480CB" w14:textId="310B0344" w:rsidR="001B4355" w:rsidRDefault="001B4355" w:rsidP="00C75C38">
      <w:pPr>
        <w:pStyle w:val="Heading3"/>
        <w:jc w:val="both"/>
      </w:pPr>
      <w:r>
        <w:t>Operation</w:t>
      </w:r>
    </w:p>
    <w:p w14:paraId="2A002955" w14:textId="21032C46" w:rsidR="00805CB4" w:rsidRPr="0036716A" w:rsidRDefault="00805CB4" w:rsidP="00C75C38">
      <w:pPr>
        <w:jc w:val="both"/>
      </w:pPr>
      <w:r>
        <w:t>The TAD</w:t>
      </w:r>
      <w:r w:rsidRPr="0036716A">
        <w:t xml:space="preserve"> </w:t>
      </w:r>
      <w:r w:rsidR="005539F9">
        <w:t>ES</w:t>
      </w:r>
      <w:r w:rsidR="00AF1A1F">
        <w:t>S</w:t>
      </w:r>
      <w:r w:rsidRPr="0036716A">
        <w:t xml:space="preserve"> meets routinely throughout the year</w:t>
      </w:r>
      <w:r w:rsidR="005539F9">
        <w:t xml:space="preserve"> </w:t>
      </w:r>
      <w:r>
        <w:t>at the discretion of the C</w:t>
      </w:r>
      <w:r w:rsidRPr="0036716A">
        <w:t xml:space="preserve">hair. </w:t>
      </w:r>
    </w:p>
    <w:p w14:paraId="633E7858" w14:textId="1D6AAFBB" w:rsidR="00805CB4" w:rsidRDefault="00805CB4" w:rsidP="00C75C38">
      <w:pPr>
        <w:jc w:val="both"/>
      </w:pPr>
      <w:r w:rsidRPr="0036716A">
        <w:t xml:space="preserve">The </w:t>
      </w:r>
      <w:r>
        <w:t>TAD</w:t>
      </w:r>
      <w:r w:rsidRPr="0036716A">
        <w:t xml:space="preserve"> </w:t>
      </w:r>
      <w:r w:rsidR="005539F9">
        <w:t>ES</w:t>
      </w:r>
      <w:r w:rsidR="00AF1A1F">
        <w:t>S</w:t>
      </w:r>
      <w:r w:rsidRPr="0036716A">
        <w:t xml:space="preserve"> performs </w:t>
      </w:r>
      <w:r>
        <w:t>TAD</w:t>
      </w:r>
      <w:r w:rsidRPr="0036716A">
        <w:t xml:space="preserve"> business during periods when the whole of </w:t>
      </w:r>
      <w:r>
        <w:t>TAD</w:t>
      </w:r>
      <w:r w:rsidRPr="0036716A">
        <w:t xml:space="preserve"> </w:t>
      </w:r>
      <w:r>
        <w:t>is</w:t>
      </w:r>
      <w:r w:rsidRPr="0036716A">
        <w:t xml:space="preserve"> not convened. </w:t>
      </w:r>
      <w:r w:rsidR="005539F9">
        <w:t>TAD ES</w:t>
      </w:r>
      <w:r w:rsidR="00AF1A1F">
        <w:t>S</w:t>
      </w:r>
      <w:r w:rsidR="005539F9">
        <w:t xml:space="preserve"> responsibilities </w:t>
      </w:r>
      <w:r w:rsidRPr="0036716A">
        <w:t xml:space="preserve">include oversight of technical activities of the institute, including technical conferences and technical inputs to all other Institute activities.   </w:t>
      </w:r>
    </w:p>
    <w:p w14:paraId="39CAF1DB" w14:textId="3668338E" w:rsidR="001B4355" w:rsidRDefault="00670846" w:rsidP="00C75C38">
      <w:pPr>
        <w:pStyle w:val="Heading2"/>
        <w:jc w:val="both"/>
      </w:pPr>
      <w:r>
        <w:t>Technical Integration Subcommittee (TIS)</w:t>
      </w:r>
    </w:p>
    <w:p w14:paraId="37C0E7B7" w14:textId="7BC0FDEF" w:rsidR="00670846" w:rsidRDefault="00620020" w:rsidP="00C75C38">
      <w:pPr>
        <w:jc w:val="both"/>
      </w:pPr>
      <w:r w:rsidRPr="00D00F77">
        <w:t xml:space="preserve">The Technical </w:t>
      </w:r>
      <w:r>
        <w:t>Integration</w:t>
      </w:r>
      <w:r w:rsidRPr="00D00F77">
        <w:t xml:space="preserve"> Subcommittee (TIS) provides a forum for the generation, evaluation, and conceptual planning of </w:t>
      </w:r>
      <w:r>
        <w:t>integration</w:t>
      </w:r>
      <w:r w:rsidRPr="00D00F77">
        <w:t xml:space="preserve"> that will improve the</w:t>
      </w:r>
      <w:r w:rsidR="005539F9">
        <w:t xml:space="preserve"> AIAA t</w:t>
      </w:r>
      <w:r w:rsidRPr="00D00F77">
        <w:t xml:space="preserve">echnical </w:t>
      </w:r>
      <w:r w:rsidR="005539F9">
        <w:t>a</w:t>
      </w:r>
      <w:r w:rsidRPr="00D00F77">
        <w:t xml:space="preserve">ctivities.  </w:t>
      </w:r>
    </w:p>
    <w:p w14:paraId="6B2400FB" w14:textId="0416AC2D" w:rsidR="00620020" w:rsidRDefault="00603BEE" w:rsidP="00C75C38">
      <w:pPr>
        <w:pStyle w:val="Heading3"/>
        <w:jc w:val="both"/>
      </w:pPr>
      <w:r>
        <w:t>Organization</w:t>
      </w:r>
    </w:p>
    <w:p w14:paraId="4EFA60A4" w14:textId="4F9D3D18" w:rsidR="00E616E1" w:rsidRDefault="00E616E1" w:rsidP="00C75C38">
      <w:pPr>
        <w:jc w:val="both"/>
      </w:pPr>
      <w:r>
        <w:t xml:space="preserve">Members of TIS include at least one Deputy Director from each </w:t>
      </w:r>
      <w:r w:rsidRPr="006E1DA7">
        <w:t>T</w:t>
      </w:r>
      <w:r>
        <w:t>AD Group</w:t>
      </w:r>
      <w:r w:rsidRPr="006E1DA7">
        <w:t>.</w:t>
      </w:r>
      <w:r>
        <w:t xml:space="preserve"> The TIS is led by the TIS Chair. </w:t>
      </w:r>
    </w:p>
    <w:p w14:paraId="114C28F6" w14:textId="5AA906E9" w:rsidR="00E9711F" w:rsidRPr="0036716A" w:rsidRDefault="00E9711F" w:rsidP="00C75C38">
      <w:pPr>
        <w:jc w:val="both"/>
      </w:pPr>
      <w:r>
        <w:t xml:space="preserve">The </w:t>
      </w:r>
      <w:r w:rsidR="005539F9">
        <w:t xml:space="preserve">TIS </w:t>
      </w:r>
      <w:r>
        <w:t xml:space="preserve">Chair </w:t>
      </w:r>
      <w:r w:rsidR="005539F9">
        <w:t>is appointed by the TAD Chief</w:t>
      </w:r>
      <w:r w:rsidRPr="0036716A">
        <w:t xml:space="preserve">. </w:t>
      </w:r>
      <w:r w:rsidR="00E616E1">
        <w:t>T</w:t>
      </w:r>
      <w:r>
        <w:t>he T</w:t>
      </w:r>
      <w:r w:rsidRPr="0036716A">
        <w:t xml:space="preserve">IS Chair’s term </w:t>
      </w:r>
      <w:r w:rsidR="00E616E1">
        <w:t>ends no later than the end of the TAD Chief’s term but</w:t>
      </w:r>
      <w:r w:rsidRPr="0036716A">
        <w:t xml:space="preserve"> may be renewed by the incoming </w:t>
      </w:r>
      <w:r w:rsidR="00E616E1">
        <w:t>TAD Chief</w:t>
      </w:r>
      <w:r w:rsidRPr="0036716A">
        <w:t>.</w:t>
      </w:r>
      <w:r>
        <w:t xml:space="preserve"> A TIS Chair</w:t>
      </w:r>
      <w:r w:rsidR="00E616E1">
        <w:t>’s</w:t>
      </w:r>
      <w:r>
        <w:t xml:space="preserve"> term should not exceed six years.</w:t>
      </w:r>
      <w:r w:rsidR="00E616E1">
        <w:t xml:space="preserve"> </w:t>
      </w:r>
      <w:r w:rsidRPr="0036716A">
        <w:t xml:space="preserve">A Deputy Chair </w:t>
      </w:r>
      <w:r w:rsidR="00E616E1">
        <w:t>may</w:t>
      </w:r>
      <w:r w:rsidRPr="0036716A">
        <w:t xml:space="preserve"> be named by the </w:t>
      </w:r>
      <w:r>
        <w:t>TIS Chair to assist in T</w:t>
      </w:r>
      <w:r w:rsidRPr="0036716A">
        <w:t xml:space="preserve">IS operations. The </w:t>
      </w:r>
      <w:r w:rsidR="00E616E1">
        <w:t xml:space="preserve">TIS </w:t>
      </w:r>
      <w:r w:rsidRPr="0036716A">
        <w:t xml:space="preserve">Deputy </w:t>
      </w:r>
      <w:r w:rsidR="00E616E1">
        <w:t xml:space="preserve">Chair </w:t>
      </w:r>
      <w:r w:rsidRPr="0036716A">
        <w:t>shall act on behalf of the</w:t>
      </w:r>
      <w:r w:rsidR="00E616E1">
        <w:t xml:space="preserve"> TIS</w:t>
      </w:r>
      <w:r w:rsidRPr="0036716A">
        <w:t xml:space="preserve"> </w:t>
      </w:r>
      <w:r w:rsidR="008468D6">
        <w:t>C</w:t>
      </w:r>
      <w:r w:rsidRPr="0036716A">
        <w:t>hair at the</w:t>
      </w:r>
      <w:r w:rsidR="00E616E1">
        <w:t>ir</w:t>
      </w:r>
      <w:r w:rsidRPr="0036716A">
        <w:t xml:space="preserve"> request.</w:t>
      </w:r>
    </w:p>
    <w:p w14:paraId="31CC1A45" w14:textId="7B3C2445" w:rsidR="00E9711F" w:rsidRDefault="00E9711F" w:rsidP="00C75C38">
      <w:pPr>
        <w:jc w:val="both"/>
      </w:pPr>
      <w:r>
        <w:t>The T</w:t>
      </w:r>
      <w:r w:rsidRPr="0036716A">
        <w:t>IS Chair may esta</w:t>
      </w:r>
      <w:r>
        <w:t>blish subcommittees to conduct T</w:t>
      </w:r>
      <w:r w:rsidRPr="0036716A">
        <w:t>IS business.</w:t>
      </w:r>
      <w:r w:rsidR="00E616E1">
        <w:t xml:space="preserve"> Other TAD members, including TAD Group Deputy Directors, TC Chairs, and TC members, may serve on TIS subcommittees.</w:t>
      </w:r>
    </w:p>
    <w:p w14:paraId="4137FCCE" w14:textId="15D735B9" w:rsidR="009A5BCB" w:rsidRDefault="009A5BCB" w:rsidP="00C75C38">
      <w:pPr>
        <w:pStyle w:val="Heading3"/>
        <w:jc w:val="both"/>
      </w:pPr>
      <w:r>
        <w:t>Operation</w:t>
      </w:r>
    </w:p>
    <w:p w14:paraId="5FBF654D" w14:textId="08E7952F" w:rsidR="005654C0" w:rsidRDefault="00CF2765" w:rsidP="00C75C38">
      <w:pPr>
        <w:jc w:val="both"/>
      </w:pPr>
      <w:r>
        <w:t xml:space="preserve">The </w:t>
      </w:r>
      <w:r w:rsidR="00195C62">
        <w:t xml:space="preserve">TIS is </w:t>
      </w:r>
      <w:r>
        <w:t>primar</w:t>
      </w:r>
      <w:r w:rsidR="00195C62">
        <w:t>ily</w:t>
      </w:r>
      <w:r>
        <w:t xml:space="preserve"> </w:t>
      </w:r>
      <w:r w:rsidR="00195C62">
        <w:t xml:space="preserve">responsible for </w:t>
      </w:r>
      <w:r>
        <w:t>c</w:t>
      </w:r>
      <w:r w:rsidR="005654C0" w:rsidRPr="0036716A">
        <w:t>ollect</w:t>
      </w:r>
      <w:r w:rsidR="00195C62">
        <w:t>ing</w:t>
      </w:r>
      <w:r w:rsidR="005654C0" w:rsidRPr="0036716A">
        <w:t xml:space="preserve"> and cultivat</w:t>
      </w:r>
      <w:r w:rsidR="00195C62">
        <w:t>ing</w:t>
      </w:r>
      <w:r w:rsidR="005654C0" w:rsidRPr="0036716A">
        <w:t xml:space="preserve"> ideas to improve AIAA technical activities.</w:t>
      </w:r>
    </w:p>
    <w:p w14:paraId="75DE8CFF" w14:textId="68AD7C75" w:rsidR="00E616E1" w:rsidRDefault="00E616E1" w:rsidP="00C75C38">
      <w:pPr>
        <w:jc w:val="both"/>
      </w:pPr>
      <w:r>
        <w:t>The TIS should annually review and update (as needed) TAD</w:t>
      </w:r>
      <w:r w:rsidRPr="0036716A">
        <w:t xml:space="preserve"> policies and procedure</w:t>
      </w:r>
      <w:r>
        <w:t>s documents (including this manual),</w:t>
      </w:r>
      <w:r w:rsidRPr="0036716A">
        <w:t xml:space="preserve"> </w:t>
      </w:r>
      <w:r>
        <w:t>TC Chair training material, TAD Group Director/Deputy Director training material, and other documents as request</w:t>
      </w:r>
      <w:r w:rsidR="00325A5B">
        <w:t>ed</w:t>
      </w:r>
      <w:r>
        <w:t xml:space="preserve"> by the TAD ESS.</w:t>
      </w:r>
    </w:p>
    <w:p w14:paraId="75D3FEAE" w14:textId="4CB18DE9" w:rsidR="00E616E1" w:rsidRDefault="00E616E1" w:rsidP="00C75C38">
      <w:pPr>
        <w:jc w:val="both"/>
      </w:pPr>
      <w:r>
        <w:t>The TIS should r</w:t>
      </w:r>
      <w:r w:rsidRPr="0036716A">
        <w:t xml:space="preserve">eview </w:t>
      </w:r>
      <w:r>
        <w:t>TAD organization,</w:t>
      </w:r>
      <w:r w:rsidRPr="0036716A">
        <w:t xml:space="preserve"> inc</w:t>
      </w:r>
      <w:r>
        <w:t>luding group composition, TC</w:t>
      </w:r>
      <w:r w:rsidRPr="0036716A">
        <w:t xml:space="preserve"> charters, an</w:t>
      </w:r>
      <w:r>
        <w:t>d</w:t>
      </w:r>
      <w:r w:rsidRPr="0036716A">
        <w:t xml:space="preserve"> recommend</w:t>
      </w:r>
      <w:r>
        <w:t xml:space="preserve"> </w:t>
      </w:r>
      <w:r w:rsidRPr="0036716A">
        <w:t>changes</w:t>
      </w:r>
      <w:r>
        <w:t xml:space="preserve"> (as needed)</w:t>
      </w:r>
      <w:r w:rsidRPr="0036716A">
        <w:t>.</w:t>
      </w:r>
    </w:p>
    <w:p w14:paraId="4B22BE38" w14:textId="470CB834" w:rsidR="005E58EE" w:rsidRDefault="00E616E1" w:rsidP="00C75C38">
      <w:pPr>
        <w:jc w:val="both"/>
      </w:pPr>
      <w:r>
        <w:t>The TIS should also c</w:t>
      </w:r>
      <w:r w:rsidRPr="0036716A">
        <w:t xml:space="preserve">ultivate and facilitate the establishment of new technical activities that expand the Institute’s activities. This may include, but is not limited to, recommending </w:t>
      </w:r>
      <w:r>
        <w:t>new TCs to address emerging technical topics and disciplines, recommending elimination or combination of existing TCs, and facilitating</w:t>
      </w:r>
      <w:r w:rsidRPr="006E37D5">
        <w:t xml:space="preserve"> the process for formation and approval of new TCs</w:t>
      </w:r>
      <w:r>
        <w:t xml:space="preserve">, </w:t>
      </w:r>
      <w:r w:rsidRPr="0036716A">
        <w:t>new working groups, alliances with other societies, and new product areas.</w:t>
      </w:r>
      <w:r w:rsidR="005E58EE">
        <w:t xml:space="preserve"> </w:t>
      </w:r>
      <w:r w:rsidR="005E58EE" w:rsidRPr="00B4182D">
        <w:t xml:space="preserve">The </w:t>
      </w:r>
      <w:r w:rsidR="005E58EE">
        <w:t xml:space="preserve">TIS is responsible for </w:t>
      </w:r>
      <w:r w:rsidR="005E58EE" w:rsidRPr="00B4182D">
        <w:t>facilitat</w:t>
      </w:r>
      <w:r w:rsidR="005E58EE">
        <w:t>ing</w:t>
      </w:r>
      <w:r w:rsidR="005E58EE" w:rsidRPr="00B4182D">
        <w:t xml:space="preserve"> the process for</w:t>
      </w:r>
      <w:r w:rsidR="005E58EE">
        <w:t xml:space="preserve"> forming</w:t>
      </w:r>
      <w:r w:rsidR="005E58EE" w:rsidRPr="00B4182D">
        <w:t xml:space="preserve"> and approv</w:t>
      </w:r>
      <w:r w:rsidR="005E58EE">
        <w:t>ing</w:t>
      </w:r>
      <w:r w:rsidR="005E58EE" w:rsidRPr="00B4182D">
        <w:t xml:space="preserve"> new </w:t>
      </w:r>
      <w:r w:rsidR="005E58EE" w:rsidRPr="00B4182D">
        <w:lastRenderedPageBreak/>
        <w:t>TCs</w:t>
      </w:r>
      <w:r w:rsidR="005E58EE">
        <w:t xml:space="preserve"> (the </w:t>
      </w:r>
      <w:r w:rsidR="005E58EE" w:rsidRPr="00B4182D">
        <w:t xml:space="preserve">process </w:t>
      </w:r>
      <w:r w:rsidR="00DC38B5">
        <w:t>for</w:t>
      </w:r>
      <w:r w:rsidR="005E58EE" w:rsidRPr="00B4182D">
        <w:t xml:space="preserve"> establish</w:t>
      </w:r>
      <w:r w:rsidR="00DC38B5">
        <w:t>ing</w:t>
      </w:r>
      <w:r w:rsidR="005E58EE" w:rsidRPr="00B4182D">
        <w:t xml:space="preserve"> a </w:t>
      </w:r>
      <w:r w:rsidR="00DC38B5">
        <w:t xml:space="preserve">new TC </w:t>
      </w:r>
      <w:r w:rsidR="005E58EE" w:rsidRPr="00B4182D">
        <w:t xml:space="preserve">can be found </w:t>
      </w:r>
      <w:r w:rsidR="005E58EE" w:rsidRPr="0072429A">
        <w:t xml:space="preserve">in the </w:t>
      </w:r>
      <w:r w:rsidR="005E58EE" w:rsidRPr="00502F35">
        <w:t>TC Chairs Manual,</w:t>
      </w:r>
      <w:r w:rsidR="005E58EE">
        <w:t xml:space="preserve"> Appendix 5 “Starting a New Committee”</w:t>
      </w:r>
      <w:r w:rsidR="00DC38B5">
        <w:t>)</w:t>
      </w:r>
      <w:r w:rsidR="005E58EE" w:rsidRPr="0072429A">
        <w:t>.</w:t>
      </w:r>
      <w:r w:rsidR="005E58EE" w:rsidRPr="00B4182D">
        <w:t xml:space="preserve">  </w:t>
      </w:r>
    </w:p>
    <w:p w14:paraId="298CFE54" w14:textId="18386877" w:rsidR="00195C62" w:rsidRDefault="00195C62" w:rsidP="00C75C38">
      <w:pPr>
        <w:jc w:val="both"/>
      </w:pPr>
      <w:r>
        <w:t xml:space="preserve">The TIS is also responsible for assessing TAD health including the following: </w:t>
      </w:r>
    </w:p>
    <w:p w14:paraId="67E1BD9C" w14:textId="0E59DFE8" w:rsidR="005654C0" w:rsidRPr="0036716A" w:rsidRDefault="005654C0" w:rsidP="00C75C38">
      <w:pPr>
        <w:pStyle w:val="ListParagraph"/>
        <w:numPr>
          <w:ilvl w:val="0"/>
          <w:numId w:val="8"/>
        </w:numPr>
        <w:jc w:val="both"/>
      </w:pPr>
      <w:r>
        <w:t xml:space="preserve">Assist the TAD Chief and Group Directors in </w:t>
      </w:r>
      <w:r w:rsidR="00E616E1">
        <w:t xml:space="preserve">addressing </w:t>
      </w:r>
      <w:r>
        <w:t xml:space="preserve">issues and </w:t>
      </w:r>
      <w:r w:rsidR="00E616E1">
        <w:t xml:space="preserve">establishing </w:t>
      </w:r>
      <w:r>
        <w:t xml:space="preserve">processes related to the oversight and </w:t>
      </w:r>
      <w:r w:rsidRPr="0036716A">
        <w:t>general health</w:t>
      </w:r>
      <w:r>
        <w:t xml:space="preserve"> of existing TC</w:t>
      </w:r>
      <w:r w:rsidRPr="0036716A">
        <w:t>s.</w:t>
      </w:r>
    </w:p>
    <w:p w14:paraId="5A340920" w14:textId="77777777" w:rsidR="005654C0" w:rsidRPr="0036716A" w:rsidRDefault="005654C0" w:rsidP="00C75C38">
      <w:pPr>
        <w:pStyle w:val="ListParagraph"/>
        <w:numPr>
          <w:ilvl w:val="0"/>
          <w:numId w:val="8"/>
        </w:numPr>
        <w:jc w:val="both"/>
      </w:pPr>
      <w:r w:rsidRPr="0036716A">
        <w:t>Aid in establishing new TCs</w:t>
      </w:r>
      <w:r>
        <w:t xml:space="preserve"> </w:t>
      </w:r>
      <w:r w:rsidRPr="0036716A">
        <w:t>from working groups</w:t>
      </w:r>
      <w:r>
        <w:t xml:space="preserve"> and Communities of Interest (CoI)</w:t>
      </w:r>
      <w:r w:rsidRPr="0036716A">
        <w:t>.</w:t>
      </w:r>
    </w:p>
    <w:p w14:paraId="194EE958" w14:textId="5D8708A1" w:rsidR="005654C0" w:rsidRPr="0036716A" w:rsidRDefault="005654C0" w:rsidP="00C75C38">
      <w:pPr>
        <w:pStyle w:val="ListParagraph"/>
        <w:numPr>
          <w:ilvl w:val="0"/>
          <w:numId w:val="8"/>
        </w:numPr>
        <w:jc w:val="both"/>
      </w:pPr>
      <w:r w:rsidRPr="0036716A">
        <w:t>Help</w:t>
      </w:r>
      <w:r w:rsidR="00E616E1">
        <w:t>ing</w:t>
      </w:r>
      <w:r w:rsidRPr="0036716A">
        <w:t xml:space="preserve"> ailing TCs at the request of the cognizant Group Director.</w:t>
      </w:r>
    </w:p>
    <w:p w14:paraId="035A8AD9" w14:textId="77777777" w:rsidR="005654C0" w:rsidRPr="0036716A" w:rsidRDefault="005654C0" w:rsidP="00C75C38">
      <w:pPr>
        <w:pStyle w:val="ListParagraph"/>
        <w:numPr>
          <w:ilvl w:val="0"/>
          <w:numId w:val="8"/>
        </w:numPr>
        <w:jc w:val="both"/>
      </w:pPr>
      <w:r w:rsidRPr="0036716A">
        <w:t>Recom</w:t>
      </w:r>
      <w:r>
        <w:t>mend to TAD elimination of TCs or relegation of TCs to CoIs</w:t>
      </w:r>
      <w:r w:rsidRPr="0036716A">
        <w:t xml:space="preserve"> when appropriate</w:t>
      </w:r>
      <w:r>
        <w:t>.</w:t>
      </w:r>
    </w:p>
    <w:p w14:paraId="1E8114E3" w14:textId="0B6441E3" w:rsidR="005654C0" w:rsidRPr="00F243B6" w:rsidRDefault="00E616E1" w:rsidP="00C75C38">
      <w:pPr>
        <w:jc w:val="both"/>
      </w:pPr>
      <w:r>
        <w:t>The TIS may address s</w:t>
      </w:r>
      <w:r w:rsidR="005654C0" w:rsidRPr="00F243B6">
        <w:t xml:space="preserve">pecial projects, as requested by the </w:t>
      </w:r>
      <w:r>
        <w:t>TAD Chief.</w:t>
      </w:r>
    </w:p>
    <w:p w14:paraId="590AFC50" w14:textId="77777777" w:rsidR="005654C0" w:rsidRDefault="005654C0" w:rsidP="00C75C38">
      <w:pPr>
        <w:jc w:val="both"/>
      </w:pPr>
      <w:r w:rsidRPr="00F243B6">
        <w:t>The TIS Chair shall make a report at each TAD meeting.</w:t>
      </w:r>
    </w:p>
    <w:p w14:paraId="010BFA57" w14:textId="49D69394" w:rsidR="00ED69B3" w:rsidRPr="005A1872" w:rsidRDefault="00EB5AF2" w:rsidP="00C75C38">
      <w:pPr>
        <w:pStyle w:val="Heading2"/>
        <w:jc w:val="both"/>
      </w:pPr>
      <w:bookmarkStart w:id="0" w:name="_Hlk137747047"/>
      <w:r>
        <w:t>Forums Integration Subcommittee (FIS)</w:t>
      </w:r>
    </w:p>
    <w:p w14:paraId="2C39D3C5" w14:textId="746ADB1C" w:rsidR="002F63D9" w:rsidRPr="00F50339" w:rsidRDefault="002F63D9" w:rsidP="00C75C38">
      <w:pPr>
        <w:jc w:val="both"/>
      </w:pPr>
      <w:r w:rsidRPr="00F50339">
        <w:t xml:space="preserve">The FIS </w:t>
      </w:r>
      <w:r w:rsidR="009A6153">
        <w:t>will</w:t>
      </w:r>
      <w:r w:rsidRPr="00F50339">
        <w:t xml:space="preserve"> facilitate integration and coordination between TAD, AIAA staff</w:t>
      </w:r>
      <w:r w:rsidR="00D67295">
        <w:t>,</w:t>
      </w:r>
      <w:r w:rsidRPr="00F50339">
        <w:t xml:space="preserve"> and Forum Guiding Coalitions on all aspects of AIAA Forums.</w:t>
      </w:r>
    </w:p>
    <w:p w14:paraId="417E0522" w14:textId="52906E7C" w:rsidR="002F63D9" w:rsidRPr="00F50339" w:rsidRDefault="002F63D9" w:rsidP="00C75C38">
      <w:pPr>
        <w:pStyle w:val="ListParagraph"/>
        <w:numPr>
          <w:ilvl w:val="0"/>
          <w:numId w:val="9"/>
        </w:numPr>
        <w:jc w:val="both"/>
      </w:pPr>
      <w:r w:rsidRPr="00F50339">
        <w:t>The FIS will develop recommendations regarding Forum content</w:t>
      </w:r>
      <w:r w:rsidR="0022050D">
        <w:t>,</w:t>
      </w:r>
      <w:r w:rsidRPr="00F50339">
        <w:t xml:space="preserve"> </w:t>
      </w:r>
      <w:r w:rsidR="0022050D">
        <w:t xml:space="preserve">program </w:t>
      </w:r>
      <w:r w:rsidRPr="00F50339">
        <w:t>structure</w:t>
      </w:r>
      <w:r w:rsidR="0022050D">
        <w:t xml:space="preserve">, attendee experience, Forum planning and </w:t>
      </w:r>
      <w:r w:rsidRPr="00F50339">
        <w:t>execution</w:t>
      </w:r>
      <w:r w:rsidR="0022050D">
        <w:t xml:space="preserve"> processes</w:t>
      </w:r>
      <w:r w:rsidRPr="00F50339">
        <w:t>, and assist TAD in “speaking with one voice” on Forum matters.</w:t>
      </w:r>
    </w:p>
    <w:p w14:paraId="1A97B7A7" w14:textId="026002E0" w:rsidR="002F63D9" w:rsidRPr="00F50339" w:rsidRDefault="002F63D9" w:rsidP="00C75C38">
      <w:pPr>
        <w:pStyle w:val="ListParagraph"/>
        <w:numPr>
          <w:ilvl w:val="0"/>
          <w:numId w:val="9"/>
        </w:numPr>
        <w:jc w:val="both"/>
      </w:pPr>
      <w:r w:rsidRPr="00F50339">
        <w:t>The FIS will advocate on behalf of TAD’s membership to ensure Forum content best reflects desires of the volunteer</w:t>
      </w:r>
      <w:r w:rsidR="00250DA4">
        <w:t xml:space="preserve"> leadership and constitu</w:t>
      </w:r>
      <w:r w:rsidR="000B4408">
        <w:t>ents</w:t>
      </w:r>
      <w:r w:rsidR="00250DA4">
        <w:t>.</w:t>
      </w:r>
    </w:p>
    <w:p w14:paraId="496D5463" w14:textId="416C93E7" w:rsidR="002F63D9" w:rsidRDefault="002F63D9" w:rsidP="00C75C38">
      <w:pPr>
        <w:pStyle w:val="ListParagraph"/>
        <w:numPr>
          <w:ilvl w:val="0"/>
          <w:numId w:val="9"/>
        </w:numPr>
        <w:jc w:val="both"/>
      </w:pPr>
      <w:r w:rsidRPr="00F50339">
        <w:t xml:space="preserve">The FIS will improve TAD’s Forum support infrastructure including Forum Technical Chair </w:t>
      </w:r>
      <w:r>
        <w:t>(</w:t>
      </w:r>
      <w:r w:rsidRPr="00F50339">
        <w:t>FTC</w:t>
      </w:r>
      <w:r>
        <w:t>)</w:t>
      </w:r>
      <w:r w:rsidRPr="00F50339">
        <w:t xml:space="preserve"> and Technical Discipline Chair </w:t>
      </w:r>
      <w:r>
        <w:t>(</w:t>
      </w:r>
      <w:r w:rsidRPr="00F50339">
        <w:t>TDC</w:t>
      </w:r>
      <w:r>
        <w:t>)</w:t>
      </w:r>
      <w:r w:rsidRPr="00F50339">
        <w:t xml:space="preserve"> training.</w:t>
      </w:r>
    </w:p>
    <w:p w14:paraId="491A64C6" w14:textId="351F02C9" w:rsidR="00E443F3" w:rsidRPr="00F50339" w:rsidRDefault="00E443F3" w:rsidP="00C75C38">
      <w:pPr>
        <w:pStyle w:val="ListParagraph"/>
        <w:numPr>
          <w:ilvl w:val="0"/>
          <w:numId w:val="9"/>
        </w:numPr>
        <w:jc w:val="both"/>
      </w:pPr>
      <w:r>
        <w:t xml:space="preserve">The FIS will develop </w:t>
      </w:r>
      <w:r w:rsidR="00357AC7">
        <w:t xml:space="preserve">talking points and/or </w:t>
      </w:r>
      <w:r w:rsidR="00960C90">
        <w:t>briefing</w:t>
      </w:r>
      <w:r>
        <w:t xml:space="preserve"> material </w:t>
      </w:r>
      <w:r w:rsidR="00856312">
        <w:t xml:space="preserve">for TAD to </w:t>
      </w:r>
      <w:r w:rsidR="00357AC7">
        <w:t>co</w:t>
      </w:r>
      <w:r w:rsidR="00960C90">
        <w:t>mmunicate</w:t>
      </w:r>
      <w:r w:rsidR="00357AC7">
        <w:t xml:space="preserve"> matters of interest to TAD</w:t>
      </w:r>
      <w:r w:rsidR="00960C90">
        <w:t xml:space="preserve"> related to Forum planning. For example, this could include </w:t>
      </w:r>
      <w:r w:rsidR="00F519C2">
        <w:t xml:space="preserve">information about Forum venue selection, </w:t>
      </w:r>
      <w:r w:rsidR="004C2C9A">
        <w:t>Foru</w:t>
      </w:r>
      <w:r w:rsidR="003F70E0">
        <w:t xml:space="preserve">m themes, and rationale for deadlines. </w:t>
      </w:r>
    </w:p>
    <w:p w14:paraId="0E76078A" w14:textId="4FFDC0AB" w:rsidR="009A5BCB" w:rsidRDefault="002F63D9" w:rsidP="00C75C38">
      <w:pPr>
        <w:jc w:val="both"/>
      </w:pPr>
      <w:r w:rsidRPr="00F50339">
        <w:t xml:space="preserve">The charter and organization of FIS will be reviewed </w:t>
      </w:r>
      <w:r>
        <w:t>annually</w:t>
      </w:r>
      <w:r w:rsidR="00360072">
        <w:t xml:space="preserve"> by the TAD ESS</w:t>
      </w:r>
      <w:r>
        <w:t>.</w:t>
      </w:r>
    </w:p>
    <w:p w14:paraId="1332CF9C" w14:textId="59C64698" w:rsidR="004F7D5E" w:rsidRDefault="004F7D5E" w:rsidP="00C75C38">
      <w:pPr>
        <w:pStyle w:val="Heading3"/>
        <w:jc w:val="both"/>
      </w:pPr>
      <w:r>
        <w:t>Membership and Organization</w:t>
      </w:r>
    </w:p>
    <w:p w14:paraId="563B6AF6" w14:textId="3BE591B0" w:rsidR="00C70F47" w:rsidRDefault="00C70F47" w:rsidP="00C75C38">
      <w:pPr>
        <w:jc w:val="both"/>
      </w:pPr>
      <w:r w:rsidRPr="00F50339">
        <w:t xml:space="preserve">The members of the FIS include </w:t>
      </w:r>
      <w:r w:rsidR="00165E6A">
        <w:t>one</w:t>
      </w:r>
      <w:r w:rsidR="004562D4">
        <w:t xml:space="preserve"> Deputy Director from each </w:t>
      </w:r>
      <w:r w:rsidR="002166D1">
        <w:t xml:space="preserve">TAD </w:t>
      </w:r>
      <w:r w:rsidR="004562D4">
        <w:t>Group</w:t>
      </w:r>
      <w:r w:rsidR="002166D1">
        <w:t xml:space="preserve">. FIS members </w:t>
      </w:r>
      <w:r w:rsidR="00904AD6">
        <w:t xml:space="preserve">are appointed by their </w:t>
      </w:r>
      <w:r w:rsidR="002166D1">
        <w:t>Group</w:t>
      </w:r>
      <w:r w:rsidR="00904AD6">
        <w:t xml:space="preserve"> Directors</w:t>
      </w:r>
      <w:r w:rsidR="004562D4">
        <w:t>.</w:t>
      </w:r>
      <w:r w:rsidR="0078757C">
        <w:t xml:space="preserve"> </w:t>
      </w:r>
      <w:r w:rsidR="00904AD6">
        <w:t>F</w:t>
      </w:r>
      <w:r w:rsidR="00BC4A72">
        <w:t xml:space="preserve">or </w:t>
      </w:r>
      <w:r w:rsidR="0078757C">
        <w:t xml:space="preserve">those </w:t>
      </w:r>
      <w:r w:rsidR="00904AD6">
        <w:t>TAD G</w:t>
      </w:r>
      <w:r w:rsidR="0078757C">
        <w:t>roup</w:t>
      </w:r>
      <w:r w:rsidR="00BC4A72">
        <w:t>s</w:t>
      </w:r>
      <w:r w:rsidR="0078757C">
        <w:t xml:space="preserve"> with a </w:t>
      </w:r>
      <w:r w:rsidRPr="00F50339">
        <w:t>Deputy Director for Forums</w:t>
      </w:r>
      <w:r w:rsidR="00BC4A72">
        <w:t>, that Deputy Director is recommended to serve on the FIS</w:t>
      </w:r>
      <w:r w:rsidRPr="00F50339">
        <w:t xml:space="preserve">.  </w:t>
      </w:r>
    </w:p>
    <w:p w14:paraId="002D31F0" w14:textId="4FB5A83D" w:rsidR="00904AD6" w:rsidRPr="00F50339" w:rsidRDefault="00904AD6" w:rsidP="00C75C38">
      <w:pPr>
        <w:jc w:val="both"/>
      </w:pPr>
      <w:r w:rsidRPr="00F50339">
        <w:t xml:space="preserve">The FIS Chair will be appointed by the TAD Chief and serves at the discretion of the </w:t>
      </w:r>
      <w:r w:rsidR="002166D1">
        <w:t xml:space="preserve">TAD </w:t>
      </w:r>
      <w:r w:rsidRPr="00F50339">
        <w:t xml:space="preserve">Chief. The FIS Chair also serves as a member of the TAD </w:t>
      </w:r>
      <w:r w:rsidR="002166D1">
        <w:t>ESS</w:t>
      </w:r>
      <w:r w:rsidRPr="00F50339">
        <w:t>.</w:t>
      </w:r>
      <w:r w:rsidR="00E7025E">
        <w:t xml:space="preserve"> The FIS Chair may be one of the Deputy Directors appointed to serve on </w:t>
      </w:r>
      <w:r w:rsidR="002166D1">
        <w:t>FIS or</w:t>
      </w:r>
      <w:r w:rsidR="00E7025E">
        <w:t xml:space="preserve"> may be </w:t>
      </w:r>
      <w:r w:rsidR="00EB4756">
        <w:t xml:space="preserve">identified </w:t>
      </w:r>
      <w:r w:rsidR="00FC1EE2">
        <w:t>separately from the appointed Deputy Directors at the discretion of the TAD Chief.</w:t>
      </w:r>
    </w:p>
    <w:p w14:paraId="5FA6317A" w14:textId="39D0DF39" w:rsidR="00AD0505" w:rsidRDefault="00C70F47" w:rsidP="00C75C38">
      <w:pPr>
        <w:jc w:val="both"/>
      </w:pPr>
      <w:r w:rsidRPr="00F50339">
        <w:t xml:space="preserve">The FIS Chair is empowered to create working groups on specific tasks that are </w:t>
      </w:r>
      <w:r>
        <w:t xml:space="preserve">forum-related </w:t>
      </w:r>
      <w:r w:rsidRPr="00F50339">
        <w:t xml:space="preserve">issues of importance and staff them with additional TAD members that may be comprised of </w:t>
      </w:r>
      <w:r w:rsidR="00B42FC2">
        <w:t xml:space="preserve">current or former </w:t>
      </w:r>
      <w:r w:rsidRPr="00F50339">
        <w:t xml:space="preserve">Forum Technical Chairs, Technical Discipline Chairs, or </w:t>
      </w:r>
      <w:r w:rsidR="00FC1EE2">
        <w:t>T</w:t>
      </w:r>
      <w:r w:rsidRPr="00F50339">
        <w:t xml:space="preserve">echnical </w:t>
      </w:r>
      <w:r w:rsidR="00FC1EE2">
        <w:t>C</w:t>
      </w:r>
      <w:r w:rsidRPr="00F50339">
        <w:t>ommittee members.</w:t>
      </w:r>
    </w:p>
    <w:p w14:paraId="408339CF" w14:textId="05CB5B2B" w:rsidR="00C70F47" w:rsidRDefault="00A66210" w:rsidP="00C75C38">
      <w:pPr>
        <w:pStyle w:val="Heading3"/>
        <w:tabs>
          <w:tab w:val="left" w:pos="2520"/>
        </w:tabs>
        <w:jc w:val="both"/>
      </w:pPr>
      <w:r>
        <w:t>Operation</w:t>
      </w:r>
    </w:p>
    <w:p w14:paraId="234A3617" w14:textId="712F3CF2" w:rsidR="00786EF9" w:rsidRPr="00F50339" w:rsidRDefault="00086B28" w:rsidP="00C75C38">
      <w:pPr>
        <w:jc w:val="both"/>
      </w:pPr>
      <w:r>
        <w:t xml:space="preserve">This FIS </w:t>
      </w:r>
      <w:r w:rsidR="003A7105">
        <w:t xml:space="preserve">should perform </w:t>
      </w:r>
      <w:r w:rsidR="00786EF9" w:rsidRPr="00F50339">
        <w:t xml:space="preserve">special </w:t>
      </w:r>
      <w:r w:rsidR="00786EF9">
        <w:t xml:space="preserve">forum-related </w:t>
      </w:r>
      <w:r w:rsidR="00786EF9" w:rsidRPr="00F50339">
        <w:t xml:space="preserve">projects, as requested by the </w:t>
      </w:r>
      <w:r w:rsidR="003A7105">
        <w:t>TAD Chief</w:t>
      </w:r>
      <w:r w:rsidR="00786EF9" w:rsidRPr="00F50339">
        <w:t xml:space="preserve">. </w:t>
      </w:r>
    </w:p>
    <w:p w14:paraId="7109DCB4" w14:textId="77777777" w:rsidR="00786EF9" w:rsidRPr="00F50339" w:rsidRDefault="00786EF9" w:rsidP="00C75C38">
      <w:pPr>
        <w:jc w:val="both"/>
      </w:pPr>
      <w:r w:rsidRPr="00F50339">
        <w:lastRenderedPageBreak/>
        <w:t xml:space="preserve">The FIS Chair shall make a report at each TAD meeting. </w:t>
      </w:r>
    </w:p>
    <w:p w14:paraId="2264E91E" w14:textId="1BFBEB61" w:rsidR="00786EF9" w:rsidRPr="00F50339" w:rsidRDefault="00786EF9" w:rsidP="00C75C38">
      <w:pPr>
        <w:jc w:val="both"/>
      </w:pPr>
      <w:r w:rsidRPr="00F50339">
        <w:rPr>
          <w:rFonts w:eastAsia="Times New Roman"/>
        </w:rPr>
        <w:t xml:space="preserve">The </w:t>
      </w:r>
      <w:r w:rsidRPr="00F50339">
        <w:t xml:space="preserve">FIS </w:t>
      </w:r>
      <w:r w:rsidRPr="00F50339">
        <w:rPr>
          <w:rFonts w:eastAsia="Times New Roman"/>
        </w:rPr>
        <w:t>should aggregate post-forum feedback via a variety of inputs, including survey results</w:t>
      </w:r>
      <w:r w:rsidR="005B1FD5">
        <w:rPr>
          <w:rFonts w:eastAsia="Times New Roman"/>
        </w:rPr>
        <w:t>;</w:t>
      </w:r>
      <w:r w:rsidR="005B1FD5" w:rsidRPr="00F50339">
        <w:rPr>
          <w:rFonts w:eastAsia="Times New Roman"/>
        </w:rPr>
        <w:t xml:space="preserve"> </w:t>
      </w:r>
      <w:r w:rsidR="005B1FD5">
        <w:rPr>
          <w:rFonts w:eastAsia="Times New Roman"/>
        </w:rPr>
        <w:t xml:space="preserve">Guiding Coalition, FTC/TDC, and </w:t>
      </w:r>
      <w:r w:rsidRPr="00F50339">
        <w:rPr>
          <w:rFonts w:eastAsia="Times New Roman"/>
        </w:rPr>
        <w:t>TC discussions</w:t>
      </w:r>
      <w:r w:rsidR="005B1FD5">
        <w:rPr>
          <w:rFonts w:eastAsia="Times New Roman"/>
        </w:rPr>
        <w:t>;</w:t>
      </w:r>
      <w:r w:rsidRPr="00F50339">
        <w:rPr>
          <w:rFonts w:eastAsia="Times New Roman"/>
        </w:rPr>
        <w:t xml:space="preserve"> and TC round table discussions.</w:t>
      </w:r>
    </w:p>
    <w:p w14:paraId="144FE3F7" w14:textId="23D9B10C" w:rsidR="00786EF9" w:rsidRPr="00F50339" w:rsidRDefault="00786EF9" w:rsidP="00C75C38">
      <w:pPr>
        <w:pStyle w:val="ListParagraph"/>
        <w:numPr>
          <w:ilvl w:val="0"/>
          <w:numId w:val="11"/>
        </w:numPr>
        <w:jc w:val="both"/>
      </w:pPr>
      <w:r w:rsidRPr="00F50339">
        <w:t>The FIS should aim to reach consensus on areas for improvement. However, consensus may not always be achievable. In that case, the TAD majority opinion should form the basis for recommendations to AIAA staff.</w:t>
      </w:r>
      <w:r w:rsidR="00F632FA">
        <w:t xml:space="preserve"> FIS</w:t>
      </w:r>
      <w:r w:rsidR="00CE51FE">
        <w:t xml:space="preserve"> is empowered to identify the best way to achieve consensus or majority opinion</w:t>
      </w:r>
      <w:r w:rsidR="007015DD">
        <w:t xml:space="preserve">; for example, FIS may use surveys, interviews, or meetings to </w:t>
      </w:r>
      <w:r w:rsidR="00F46872">
        <w:t>assess whether proposed recommendations reflect consensus or majority opinion.</w:t>
      </w:r>
    </w:p>
    <w:p w14:paraId="57E939D2" w14:textId="77777777" w:rsidR="00786EF9" w:rsidRPr="00F50339" w:rsidRDefault="00786EF9" w:rsidP="00C75C38">
      <w:pPr>
        <w:pStyle w:val="ListParagraph"/>
        <w:numPr>
          <w:ilvl w:val="0"/>
          <w:numId w:val="11"/>
        </w:numPr>
        <w:jc w:val="both"/>
      </w:pPr>
      <w:r w:rsidRPr="00F50339">
        <w:t>The FIS should provide clear and actionable feedback to AIAA staff.</w:t>
      </w:r>
    </w:p>
    <w:p w14:paraId="295C04E2" w14:textId="77777777" w:rsidR="00786EF9" w:rsidRPr="00F50339" w:rsidRDefault="00786EF9" w:rsidP="00C75C38">
      <w:pPr>
        <w:pStyle w:val="ListParagraph"/>
        <w:numPr>
          <w:ilvl w:val="0"/>
          <w:numId w:val="11"/>
        </w:numPr>
        <w:jc w:val="both"/>
      </w:pPr>
      <w:r w:rsidRPr="00F50339">
        <w:t>The FIS should track how recommendations to AIAA staff are implemented.</w:t>
      </w:r>
    </w:p>
    <w:p w14:paraId="4A34128A" w14:textId="77777777" w:rsidR="00786EF9" w:rsidRPr="00F50339" w:rsidRDefault="00786EF9" w:rsidP="00C75C38">
      <w:pPr>
        <w:jc w:val="both"/>
      </w:pPr>
      <w:r w:rsidRPr="00F50339">
        <w:t>The FIS should develop best practices documentation for FTCs and TDCs.</w:t>
      </w:r>
    </w:p>
    <w:p w14:paraId="4AB81A10" w14:textId="77777777" w:rsidR="00786EF9" w:rsidRPr="00786EF9" w:rsidRDefault="00786EF9" w:rsidP="00C75C38">
      <w:pPr>
        <w:pStyle w:val="ListParagraph"/>
        <w:numPr>
          <w:ilvl w:val="0"/>
          <w:numId w:val="12"/>
        </w:numPr>
        <w:jc w:val="both"/>
        <w:rPr>
          <w:rFonts w:eastAsia="Calibri"/>
        </w:rPr>
      </w:pPr>
      <w:r>
        <w:t>This documentation should include best practices and procedures for abstract review, forum technical session acceptance rates, and sessioning practices.</w:t>
      </w:r>
    </w:p>
    <w:p w14:paraId="13CCC12A" w14:textId="77777777" w:rsidR="00786EF9" w:rsidRPr="00F50339" w:rsidRDefault="00786EF9" w:rsidP="00C75C38">
      <w:pPr>
        <w:pStyle w:val="ListParagraph"/>
        <w:numPr>
          <w:ilvl w:val="0"/>
          <w:numId w:val="12"/>
        </w:numPr>
        <w:jc w:val="both"/>
      </w:pPr>
      <w:r w:rsidRPr="00786EF9">
        <w:rPr>
          <w:rFonts w:eastAsia="Times New Roman"/>
        </w:rPr>
        <w:t>This documentation should clearly identify roles and responsibilities for FTCs and TDCs, timelines, and best practices for a high-quality technical program.</w:t>
      </w:r>
    </w:p>
    <w:p w14:paraId="311B2A92" w14:textId="77777777" w:rsidR="00786EF9" w:rsidRPr="00F50339" w:rsidRDefault="00786EF9" w:rsidP="00C75C38">
      <w:pPr>
        <w:pStyle w:val="ListParagraph"/>
        <w:numPr>
          <w:ilvl w:val="0"/>
          <w:numId w:val="12"/>
        </w:numPr>
        <w:jc w:val="both"/>
      </w:pPr>
      <w:r w:rsidRPr="00786EF9">
        <w:rPr>
          <w:rFonts w:eastAsia="Times New Roman"/>
        </w:rPr>
        <w:t xml:space="preserve">The </w:t>
      </w:r>
      <w:r w:rsidRPr="00F50339">
        <w:t>FIS</w:t>
      </w:r>
      <w:r w:rsidRPr="00786EF9">
        <w:rPr>
          <w:rFonts w:eastAsia="Times New Roman"/>
        </w:rPr>
        <w:t xml:space="preserve"> should work with AIAA staff to develop a calendar for each AIAA Forum as part of the FTC and TDC best practices documentation. The calendar should identify key activities and deadlines.</w:t>
      </w:r>
    </w:p>
    <w:p w14:paraId="7A3CF35C" w14:textId="77777777" w:rsidR="00786EF9" w:rsidRPr="00F50339" w:rsidRDefault="00786EF9" w:rsidP="00C75C38">
      <w:pPr>
        <w:pStyle w:val="ListParagraph"/>
        <w:numPr>
          <w:ilvl w:val="0"/>
          <w:numId w:val="12"/>
        </w:numPr>
        <w:jc w:val="both"/>
      </w:pPr>
      <w:r w:rsidRPr="00786EF9">
        <w:rPr>
          <w:rFonts w:eastAsia="Times New Roman"/>
        </w:rPr>
        <w:t xml:space="preserve">The </w:t>
      </w:r>
      <w:r w:rsidRPr="00F50339">
        <w:t>FIS</w:t>
      </w:r>
      <w:r w:rsidRPr="00786EF9">
        <w:rPr>
          <w:rFonts w:eastAsia="Times New Roman"/>
        </w:rPr>
        <w:t xml:space="preserve"> should evaluate whether additional positions are needed for developing and planning the Forum technical program. For example, they may identify if additional positions are needed to review the technical program layout and identify when TCs should be coordinating technical tracks on similar topics.</w:t>
      </w:r>
    </w:p>
    <w:p w14:paraId="0F5105D6" w14:textId="77777777" w:rsidR="00786EF9" w:rsidRPr="00F50339" w:rsidRDefault="00786EF9" w:rsidP="00C75C38">
      <w:pPr>
        <w:jc w:val="both"/>
      </w:pPr>
      <w:r w:rsidRPr="00F50339">
        <w:t>The FIS should develop training and best practices documentation for Session Chairs to ensure a high-quality technical program.</w:t>
      </w:r>
    </w:p>
    <w:p w14:paraId="3259AE7F" w14:textId="77777777" w:rsidR="00786EF9" w:rsidRPr="00F50339" w:rsidRDefault="00786EF9" w:rsidP="00C75C38">
      <w:pPr>
        <w:pStyle w:val="ListParagraph"/>
        <w:numPr>
          <w:ilvl w:val="0"/>
          <w:numId w:val="13"/>
        </w:numPr>
        <w:jc w:val="both"/>
      </w:pPr>
      <w:r w:rsidRPr="00F50339">
        <w:t xml:space="preserve">The FIS should communicate opportunities to develop technical content to the TCs (e.g., providing guidance on using the Call for Content to propose Plenary and Forum 360 topics and speakers) </w:t>
      </w:r>
    </w:p>
    <w:p w14:paraId="35880A1D" w14:textId="77777777" w:rsidR="00786EF9" w:rsidRPr="00F50339" w:rsidRDefault="00786EF9" w:rsidP="00C75C38">
      <w:pPr>
        <w:pStyle w:val="ListParagraph"/>
        <w:numPr>
          <w:ilvl w:val="0"/>
          <w:numId w:val="13"/>
        </w:numPr>
        <w:jc w:val="both"/>
      </w:pPr>
      <w:r w:rsidRPr="00F50339">
        <w:t>The FIS should help TCs coordinate new ideas about Technical Program content types (e.g., poster sessions) with AIAA staff.</w:t>
      </w:r>
    </w:p>
    <w:p w14:paraId="3EF8DB6B" w14:textId="77777777" w:rsidR="00786EF9" w:rsidRPr="00F50339" w:rsidRDefault="00786EF9" w:rsidP="00C75C38">
      <w:pPr>
        <w:pStyle w:val="ListParagraph"/>
        <w:numPr>
          <w:ilvl w:val="0"/>
          <w:numId w:val="13"/>
        </w:numPr>
        <w:jc w:val="both"/>
      </w:pPr>
      <w:r w:rsidRPr="00F50339">
        <w:t xml:space="preserve">The FIS should be the primary </w:t>
      </w:r>
      <w:r>
        <w:t xml:space="preserve">Forum </w:t>
      </w:r>
      <w:r w:rsidRPr="00F50339">
        <w:t>coordination body within TAD with which AIAA staff propose new Forum ideas.</w:t>
      </w:r>
    </w:p>
    <w:p w14:paraId="6C066C63" w14:textId="1665C8F2" w:rsidR="00786EF9" w:rsidRDefault="00786EF9" w:rsidP="00C75C38">
      <w:pPr>
        <w:pStyle w:val="ListParagraph"/>
        <w:numPr>
          <w:ilvl w:val="0"/>
          <w:numId w:val="13"/>
        </w:numPr>
        <w:jc w:val="both"/>
      </w:pPr>
      <w:r w:rsidRPr="00F50339">
        <w:t>The FIS should solicit feedback on new Forum ideas from TAD Group Directors and TC Chairs and members and provide aggregated feedback to AIAA staff.</w:t>
      </w:r>
    </w:p>
    <w:bookmarkEnd w:id="0"/>
    <w:p w14:paraId="74226FEF" w14:textId="43850C2E" w:rsidR="004E0D18" w:rsidRDefault="004E0D18" w:rsidP="00C75C38">
      <w:pPr>
        <w:pStyle w:val="Heading1"/>
        <w:jc w:val="both"/>
      </w:pPr>
      <w:r>
        <w:t>Technical Committees</w:t>
      </w:r>
    </w:p>
    <w:p w14:paraId="106A09AF" w14:textId="4D20EC69" w:rsidR="004E0D18" w:rsidRDefault="000E3A6B" w:rsidP="00C75C38">
      <w:pPr>
        <w:pStyle w:val="Heading2"/>
        <w:jc w:val="both"/>
      </w:pPr>
      <w:r>
        <w:t>Introduction</w:t>
      </w:r>
    </w:p>
    <w:p w14:paraId="51FFADE0" w14:textId="5DF33EB3" w:rsidR="00E9320D" w:rsidRDefault="005E58EE" w:rsidP="00C75C38">
      <w:pPr>
        <w:jc w:val="both"/>
      </w:pPr>
      <w:r>
        <w:t xml:space="preserve">AIAA </w:t>
      </w:r>
      <w:r w:rsidR="00E9320D" w:rsidRPr="00B4182D">
        <w:t xml:space="preserve">Technical Committees (TC) </w:t>
      </w:r>
      <w:r w:rsidR="00E9320D">
        <w:t>represent</w:t>
      </w:r>
      <w:r>
        <w:t xml:space="preserve"> aerospace technical disciplines of interest to </w:t>
      </w:r>
      <w:r w:rsidR="00E9320D" w:rsidRPr="00B4182D">
        <w:t>the Institute</w:t>
      </w:r>
      <w:r w:rsidR="00E9320D">
        <w:t xml:space="preserve"> and its members</w:t>
      </w:r>
      <w:r w:rsidR="00E9320D" w:rsidRPr="00B4182D">
        <w:t xml:space="preserve">. </w:t>
      </w:r>
      <w:r>
        <w:t>TCs</w:t>
      </w:r>
      <w:r w:rsidR="00E9320D" w:rsidRPr="00B4182D">
        <w:t xml:space="preserve"> assist the Institute in developing programs for meetings</w:t>
      </w:r>
      <w:r w:rsidR="00E9320D">
        <w:t>, products,</w:t>
      </w:r>
      <w:r w:rsidR="00E9320D" w:rsidRPr="00B4182D">
        <w:t xml:space="preserve"> and other technical communications in specialized areas of professiona</w:t>
      </w:r>
      <w:r w:rsidR="00E9320D">
        <w:t>l interest. The TCs</w:t>
      </w:r>
      <w:r w:rsidR="00E9320D" w:rsidRPr="00B4182D">
        <w:t xml:space="preserve"> provide the Institute with authoritative opinion on specialized subjects in their prescribed areas of </w:t>
      </w:r>
      <w:r>
        <w:t>expertise</w:t>
      </w:r>
      <w:r w:rsidR="00E9320D" w:rsidRPr="00B4182D">
        <w:t xml:space="preserve">. </w:t>
      </w:r>
      <w:r>
        <w:t xml:space="preserve">TCs </w:t>
      </w:r>
      <w:r w:rsidR="00E9320D" w:rsidRPr="00B4182D">
        <w:t xml:space="preserve">are responsible for the scope, organization, and technical content of the meetings within their areas of </w:t>
      </w:r>
      <w:r w:rsidR="00E9320D">
        <w:t>expertise</w:t>
      </w:r>
      <w:r w:rsidR="00E9320D" w:rsidRPr="00B4182D">
        <w:t xml:space="preserve">. </w:t>
      </w:r>
    </w:p>
    <w:p w14:paraId="5752E9DE" w14:textId="77777777" w:rsidR="005E58EE" w:rsidRDefault="005E58EE" w:rsidP="00C75C38">
      <w:pPr>
        <w:jc w:val="both"/>
      </w:pPr>
      <w:r>
        <w:lastRenderedPageBreak/>
        <w:t xml:space="preserve">The </w:t>
      </w:r>
      <w:r w:rsidR="00E9320D" w:rsidRPr="00B4182D">
        <w:t xml:space="preserve">TCs </w:t>
      </w:r>
      <w:r w:rsidR="00E9320D">
        <w:t xml:space="preserve">shall </w:t>
      </w:r>
      <w:r w:rsidR="00E9320D" w:rsidRPr="00B4182D">
        <w:t xml:space="preserve">strive to serve the AIAA members who have a special interest or professional stake in the TC’s scope of </w:t>
      </w:r>
      <w:r>
        <w:t xml:space="preserve">discipline, </w:t>
      </w:r>
      <w:r w:rsidR="00E9320D" w:rsidRPr="00B4182D">
        <w:t>technology</w:t>
      </w:r>
      <w:r>
        <w:t>, and/</w:t>
      </w:r>
      <w:r w:rsidR="00E9320D" w:rsidRPr="00B4182D">
        <w:t xml:space="preserve">or systems. </w:t>
      </w:r>
    </w:p>
    <w:p w14:paraId="58BE5585" w14:textId="3273B1CD" w:rsidR="00E9320D" w:rsidRDefault="00E9320D" w:rsidP="00C75C38">
      <w:pPr>
        <w:jc w:val="both"/>
      </w:pPr>
      <w:r w:rsidRPr="00B4182D">
        <w:t>TC members are volunteer</w:t>
      </w:r>
      <w:r w:rsidR="005E58EE">
        <w:t>s</w:t>
      </w:r>
      <w:r w:rsidRPr="00B4182D">
        <w:t xml:space="preserve"> from their professional sector. </w:t>
      </w:r>
    </w:p>
    <w:p w14:paraId="21AB9A89" w14:textId="35402B35" w:rsidR="000E3A6B" w:rsidRDefault="00E9320D" w:rsidP="00C75C38">
      <w:pPr>
        <w:pStyle w:val="Heading2"/>
        <w:jc w:val="both"/>
      </w:pPr>
      <w:r>
        <w:t>Organization</w:t>
      </w:r>
    </w:p>
    <w:p w14:paraId="5C4F70F4" w14:textId="77777777" w:rsidR="00DC38B5" w:rsidRDefault="00DC38B5" w:rsidP="00C75C38">
      <w:pPr>
        <w:pStyle w:val="Heading3"/>
        <w:jc w:val="both"/>
      </w:pPr>
      <w:r>
        <w:t>Technical Committee Membership</w:t>
      </w:r>
    </w:p>
    <w:p w14:paraId="4389F351" w14:textId="77777777" w:rsidR="00DC38B5" w:rsidRDefault="00DC38B5" w:rsidP="00C75C38">
      <w:pPr>
        <w:jc w:val="both"/>
      </w:pPr>
      <w:r>
        <w:t xml:space="preserve">TAD and the </w:t>
      </w:r>
      <w:r w:rsidRPr="00B4182D">
        <w:t xml:space="preserve">TC </w:t>
      </w:r>
      <w:r>
        <w:t>C</w:t>
      </w:r>
      <w:r w:rsidRPr="00B4182D">
        <w:t xml:space="preserve">hairs </w:t>
      </w:r>
      <w:r>
        <w:t>must strive</w:t>
      </w:r>
      <w:r w:rsidRPr="00B4182D">
        <w:t xml:space="preserve"> to maintain a reasonable balance in representation</w:t>
      </w:r>
      <w:r>
        <w:t>:</w:t>
      </w:r>
    </w:p>
    <w:p w14:paraId="61726F5F" w14:textId="7419DE4F" w:rsidR="00DC38B5" w:rsidRDefault="00DC38B5" w:rsidP="00C75C38">
      <w:pPr>
        <w:pStyle w:val="ListParagraph"/>
        <w:numPr>
          <w:ilvl w:val="0"/>
          <w:numId w:val="21"/>
        </w:numPr>
        <w:jc w:val="both"/>
      </w:pPr>
      <w:r>
        <w:t>from industry</w:t>
      </w:r>
      <w:r w:rsidRPr="00B4182D">
        <w:t>, education, and government</w:t>
      </w:r>
    </w:p>
    <w:p w14:paraId="46EA273E" w14:textId="77777777" w:rsidR="00DC38B5" w:rsidRDefault="00DC38B5" w:rsidP="00C75C38">
      <w:pPr>
        <w:pStyle w:val="ListParagraph"/>
        <w:numPr>
          <w:ilvl w:val="0"/>
          <w:numId w:val="21"/>
        </w:numPr>
        <w:jc w:val="both"/>
      </w:pPr>
      <w:r w:rsidRPr="00B4182D">
        <w:t>specialties covered in the TC scope</w:t>
      </w:r>
    </w:p>
    <w:p w14:paraId="6797DA9E" w14:textId="0FBF5433" w:rsidR="00DC38B5" w:rsidRDefault="00DC38B5" w:rsidP="00C75C38">
      <w:pPr>
        <w:pStyle w:val="ListParagraph"/>
        <w:numPr>
          <w:ilvl w:val="0"/>
          <w:numId w:val="21"/>
        </w:numPr>
        <w:jc w:val="both"/>
      </w:pPr>
      <w:r>
        <w:t>geographical region (e.g., U.S. and international locations)</w:t>
      </w:r>
    </w:p>
    <w:p w14:paraId="6EAD2A83" w14:textId="6317F610" w:rsidR="00DC38B5" w:rsidRDefault="00DC38B5" w:rsidP="00C75C38">
      <w:pPr>
        <w:pStyle w:val="ListParagraph"/>
        <w:numPr>
          <w:ilvl w:val="0"/>
          <w:numId w:val="21"/>
        </w:numPr>
        <w:jc w:val="both"/>
      </w:pPr>
      <w:r>
        <w:t>across career stage (e.g., student, young, mid-career, and late-career</w:t>
      </w:r>
      <w:r w:rsidR="005D7C90">
        <w:t xml:space="preserve"> professionals</w:t>
      </w:r>
      <w:r>
        <w:t xml:space="preserve">), </w:t>
      </w:r>
      <w:r w:rsidR="001F1250">
        <w:t xml:space="preserve">generation, </w:t>
      </w:r>
      <w:r>
        <w:t xml:space="preserve">gender, and </w:t>
      </w:r>
      <w:r w:rsidR="001F1250" w:rsidRPr="001F1250">
        <w:t>under-represented communities</w:t>
      </w:r>
      <w:r w:rsidRPr="00B4182D">
        <w:t xml:space="preserve">.  </w:t>
      </w:r>
    </w:p>
    <w:p w14:paraId="0444D6AF" w14:textId="1736DE9B" w:rsidR="00DC38B5" w:rsidRDefault="00DC38B5" w:rsidP="00C75C38">
      <w:pPr>
        <w:jc w:val="both"/>
      </w:pPr>
      <w:r w:rsidRPr="00B4182D">
        <w:t xml:space="preserve">Membership of a </w:t>
      </w:r>
      <w:r>
        <w:t xml:space="preserve">TC should </w:t>
      </w:r>
      <w:r w:rsidRPr="00B4182D">
        <w:t xml:space="preserve">be limited to </w:t>
      </w:r>
      <w:r>
        <w:t>50 total members</w:t>
      </w:r>
      <w:r w:rsidRPr="00B4182D">
        <w:t xml:space="preserve"> unless an increase is approved by the</w:t>
      </w:r>
      <w:r>
        <w:t xml:space="preserve"> cognizant Group Director. </w:t>
      </w:r>
      <w:r w:rsidR="00FA5B6C">
        <w:t>A TC</w:t>
      </w:r>
      <w:r w:rsidR="00E671FF">
        <w:t xml:space="preserve"> </w:t>
      </w:r>
      <w:r w:rsidR="00FA5B6C">
        <w:t xml:space="preserve">Chair’s </w:t>
      </w:r>
      <w:r w:rsidR="00E671FF">
        <w:t xml:space="preserve">request to </w:t>
      </w:r>
      <w:r w:rsidR="00FA5B6C">
        <w:t xml:space="preserve">exceed the 50-member limit on their roster </w:t>
      </w:r>
      <w:r w:rsidR="00E671FF">
        <w:t xml:space="preserve">should be submitted to the Group Director via the Staff Liaison. </w:t>
      </w:r>
      <w:r>
        <w:t>By January 31 of each year, the TC Chair must submit a roster of TC members to the AIAA staff liaison and their Group Director. TC</w:t>
      </w:r>
      <w:r w:rsidRPr="0036716A">
        <w:t xml:space="preserve"> membership </w:t>
      </w:r>
      <w:r>
        <w:t xml:space="preserve">is from </w:t>
      </w:r>
      <w:r w:rsidRPr="0036716A">
        <w:t xml:space="preserve">May </w:t>
      </w:r>
      <w:r>
        <w:t xml:space="preserve">1, following the submission of the roster to AIAA staff, to April 30 of the following </w:t>
      </w:r>
      <w:r w:rsidRPr="0036716A">
        <w:t>year.</w:t>
      </w:r>
      <w:r>
        <w:t xml:space="preserve"> </w:t>
      </w:r>
    </w:p>
    <w:p w14:paraId="5CA33879" w14:textId="520ECA86" w:rsidR="00DC38B5" w:rsidRPr="00CF61CD" w:rsidRDefault="00DC38B5" w:rsidP="00C75C38">
      <w:pPr>
        <w:jc w:val="both"/>
      </w:pPr>
      <w:r>
        <w:t>TC</w:t>
      </w:r>
      <w:r w:rsidRPr="00CF61CD">
        <w:t xml:space="preserve"> members are appointed for a yearly term, </w:t>
      </w:r>
      <w:r>
        <w:t xml:space="preserve">as </w:t>
      </w:r>
      <w:r w:rsidRPr="00CF61CD">
        <w:t xml:space="preserve">approved by the </w:t>
      </w:r>
      <w:r>
        <w:t xml:space="preserve">TC Chair and Group </w:t>
      </w:r>
      <w:r w:rsidRPr="00CF61CD">
        <w:t xml:space="preserve">Director. Members </w:t>
      </w:r>
      <w:r>
        <w:t>may</w:t>
      </w:r>
      <w:r w:rsidRPr="00CF61CD">
        <w:t xml:space="preserve"> serve three consecutive</w:t>
      </w:r>
      <w:r>
        <w:t>,</w:t>
      </w:r>
      <w:r w:rsidRPr="00CF61CD">
        <w:t xml:space="preserve"> one</w:t>
      </w:r>
      <w:r>
        <w:t>-</w:t>
      </w:r>
      <w:r w:rsidRPr="00CF61CD">
        <w:t>year terms</w:t>
      </w:r>
      <w:r w:rsidR="00867054">
        <w:t xml:space="preserve"> (note: </w:t>
      </w:r>
      <w:r w:rsidR="007C25DC">
        <w:t xml:space="preserve">once on the roster, </w:t>
      </w:r>
      <w:r w:rsidR="00867054">
        <w:t>TC members do not need to re-apply through the application portal</w:t>
      </w:r>
      <w:r w:rsidR="007C25DC">
        <w:t>)</w:t>
      </w:r>
      <w:r w:rsidRPr="00CF61CD">
        <w:t>.</w:t>
      </w:r>
      <w:r w:rsidRPr="000E436B">
        <w:t xml:space="preserve"> </w:t>
      </w:r>
      <w:r w:rsidRPr="00CF61CD">
        <w:t xml:space="preserve">TC members may </w:t>
      </w:r>
      <w:r>
        <w:t xml:space="preserve">continue </w:t>
      </w:r>
      <w:r w:rsidRPr="00CF61CD">
        <w:t>beyond the three-year term of membership at the discretion of the TC Chair</w:t>
      </w:r>
      <w:r>
        <w:t xml:space="preserve"> </w:t>
      </w:r>
      <w:r w:rsidRPr="00CF61CD">
        <w:t>when</w:t>
      </w:r>
      <w:r>
        <w:t xml:space="preserve"> </w:t>
      </w:r>
      <w:r w:rsidR="00204CAF">
        <w:t xml:space="preserve">any of </w:t>
      </w:r>
      <w:r>
        <w:t>the following apply:</w:t>
      </w:r>
      <w:r w:rsidRPr="00CF61CD">
        <w:t xml:space="preserve"> </w:t>
      </w:r>
    </w:p>
    <w:p w14:paraId="5B88F089" w14:textId="626D75DB" w:rsidR="00DC38B5" w:rsidRPr="005124BC" w:rsidRDefault="00DC38B5" w:rsidP="00C75C38">
      <w:pPr>
        <w:pStyle w:val="ListParagraph"/>
        <w:numPr>
          <w:ilvl w:val="0"/>
          <w:numId w:val="17"/>
        </w:numPr>
        <w:jc w:val="both"/>
      </w:pPr>
      <w:r>
        <w:t>The individual remains an active member of the TC per that TC’s definition of an “active member</w:t>
      </w:r>
      <w:r w:rsidRPr="005124BC">
        <w:t xml:space="preserve">” </w:t>
      </w:r>
      <w:r w:rsidRPr="00940FF5">
        <w:t xml:space="preserve">(see Appendix </w:t>
      </w:r>
      <w:r w:rsidR="00FC40EE" w:rsidRPr="00940FF5">
        <w:t xml:space="preserve">A </w:t>
      </w:r>
      <w:r w:rsidRPr="00940FF5">
        <w:t>for the TIS definition of an Active TC Member)</w:t>
      </w:r>
      <w:r w:rsidR="00BC7732" w:rsidRPr="005124BC">
        <w:t>;</w:t>
      </w:r>
    </w:p>
    <w:p w14:paraId="7CBA4F99" w14:textId="3F710062" w:rsidR="00DC38B5" w:rsidRPr="000E436B" w:rsidRDefault="00DC38B5" w:rsidP="00C75C38">
      <w:pPr>
        <w:pStyle w:val="ListParagraph"/>
        <w:numPr>
          <w:ilvl w:val="0"/>
          <w:numId w:val="17"/>
        </w:numPr>
        <w:jc w:val="both"/>
      </w:pPr>
      <w:r w:rsidRPr="000E436B">
        <w:t>The individual possesses a particular expertise critical to the TC’s operati</w:t>
      </w:r>
      <w:r>
        <w:t>on</w:t>
      </w:r>
      <w:r w:rsidR="00BC7732">
        <w:t>;</w:t>
      </w:r>
    </w:p>
    <w:p w14:paraId="128C9207" w14:textId="553AD294" w:rsidR="00DC38B5" w:rsidRPr="000E436B" w:rsidRDefault="00DC38B5" w:rsidP="00C75C38">
      <w:pPr>
        <w:pStyle w:val="ListParagraph"/>
        <w:numPr>
          <w:ilvl w:val="0"/>
          <w:numId w:val="17"/>
        </w:numPr>
        <w:jc w:val="both"/>
      </w:pPr>
      <w:r w:rsidRPr="000E436B">
        <w:t xml:space="preserve">The individual is working on a </w:t>
      </w:r>
      <w:r>
        <w:t>TC sub</w:t>
      </w:r>
      <w:r w:rsidRPr="000E436B">
        <w:t xml:space="preserve">committee assignment that requires </w:t>
      </w:r>
      <w:r w:rsidR="00BC7732">
        <w:t>the individual’s</w:t>
      </w:r>
      <w:r w:rsidRPr="000E436B">
        <w:t xml:space="preserve"> knowledge and/or background</w:t>
      </w:r>
      <w:r w:rsidR="00BC7732">
        <w:t>; and</w:t>
      </w:r>
    </w:p>
    <w:p w14:paraId="35CACA52" w14:textId="477B223B" w:rsidR="00DC38B5" w:rsidRDefault="00DC38B5" w:rsidP="00C75C38">
      <w:pPr>
        <w:pStyle w:val="ListParagraph"/>
        <w:numPr>
          <w:ilvl w:val="0"/>
          <w:numId w:val="17"/>
        </w:numPr>
        <w:jc w:val="both"/>
      </w:pPr>
      <w:r w:rsidRPr="000E436B">
        <w:t>The individual is serving as Chair-elect</w:t>
      </w:r>
      <w:r>
        <w:t xml:space="preserve"> </w:t>
      </w:r>
      <w:r w:rsidRPr="000E436B">
        <w:t>or is serving as TC Chair</w:t>
      </w:r>
      <w:r w:rsidR="00BC7732">
        <w:t>.</w:t>
      </w:r>
    </w:p>
    <w:p w14:paraId="3FC072F9" w14:textId="77777777" w:rsidR="00DC38B5" w:rsidRPr="0036716A" w:rsidRDefault="00DC38B5" w:rsidP="00C75C38">
      <w:pPr>
        <w:jc w:val="both"/>
      </w:pPr>
      <w:r>
        <w:t xml:space="preserve">It is important that TC membership remain vibrant with normal rotation of members per the guidelines.  </w:t>
      </w:r>
    </w:p>
    <w:p w14:paraId="5507835C" w14:textId="63DC6876" w:rsidR="00DC38B5" w:rsidRPr="000E1F40" w:rsidRDefault="00DC38B5" w:rsidP="00C75C38">
      <w:pPr>
        <w:jc w:val="both"/>
      </w:pPr>
      <w:r w:rsidRPr="007D6A5E">
        <w:t>Membership in AIAA is mandatory for all TC members and if they are not currently members of AIAA when they are accepted for TC membership, they have 45 days</w:t>
      </w:r>
      <w:r w:rsidRPr="000E1F40">
        <w:t xml:space="preserve"> to join after they are notified of their acceptance. If they do not join within 45 days, they must be removed from the TC</w:t>
      </w:r>
      <w:r>
        <w:t xml:space="preserve"> roster</w:t>
      </w:r>
      <w:r w:rsidRPr="000E1F40">
        <w:t xml:space="preserve">. If they are AIAA members already, their membership must be </w:t>
      </w:r>
      <w:r w:rsidRPr="00940FF5">
        <w:t>in good standing.</w:t>
      </w:r>
      <w:r w:rsidR="002D6BFB" w:rsidRPr="00940FF5">
        <w:rPr>
          <w:rStyle w:val="FootnoteReference"/>
        </w:rPr>
        <w:footnoteReference w:id="1"/>
      </w:r>
    </w:p>
    <w:p w14:paraId="17EB8DFE" w14:textId="77777777" w:rsidR="00DC38B5" w:rsidRDefault="00DC38B5" w:rsidP="00C75C38">
      <w:pPr>
        <w:jc w:val="both"/>
      </w:pPr>
      <w:r>
        <w:t>The rostered members are the only voting members of the TC.</w:t>
      </w:r>
    </w:p>
    <w:p w14:paraId="06789C06" w14:textId="387DD5D1" w:rsidR="0025353F" w:rsidRDefault="002D1BEE" w:rsidP="00C75C38">
      <w:pPr>
        <w:pStyle w:val="Heading3"/>
        <w:jc w:val="both"/>
      </w:pPr>
      <w:r>
        <w:t>Technical Committee</w:t>
      </w:r>
      <w:r w:rsidR="00DC38B5">
        <w:t xml:space="preserve"> Chairs</w:t>
      </w:r>
    </w:p>
    <w:p w14:paraId="64F9C189" w14:textId="5B2D4FD3" w:rsidR="00DC38B5" w:rsidRDefault="00DC38B5" w:rsidP="00C75C38">
      <w:pPr>
        <w:jc w:val="both"/>
      </w:pPr>
      <w:r>
        <w:t>TC</w:t>
      </w:r>
      <w:r w:rsidRPr="00B4182D">
        <w:t xml:space="preserve"> Chair</w:t>
      </w:r>
      <w:r>
        <w:t>s</w:t>
      </w:r>
      <w:r w:rsidRPr="00B4182D">
        <w:t xml:space="preserve"> are elected </w:t>
      </w:r>
      <w:r>
        <w:t>by the TC membership</w:t>
      </w:r>
      <w:r w:rsidR="002C1F0E">
        <w:t xml:space="preserve">. </w:t>
      </w:r>
      <w:r w:rsidRPr="00B4182D">
        <w:t>Their term of office is limited to two years</w:t>
      </w:r>
      <w:r>
        <w:t xml:space="preserve"> </w:t>
      </w:r>
      <w:r w:rsidR="00973376">
        <w:t xml:space="preserve">and one consecutive term </w:t>
      </w:r>
      <w:r>
        <w:t xml:space="preserve">as specified in </w:t>
      </w:r>
      <w:r w:rsidR="00973376">
        <w:t xml:space="preserve">Section 3.3.1 in </w:t>
      </w:r>
      <w:r>
        <w:t xml:space="preserve">the </w:t>
      </w:r>
      <w:r w:rsidRPr="00940FF5">
        <w:t xml:space="preserve">AIAA </w:t>
      </w:r>
      <w:r w:rsidR="0075679A" w:rsidRPr="00940FF5">
        <w:t>B</w:t>
      </w:r>
      <w:r w:rsidRPr="00940FF5">
        <w:t>ylaws</w:t>
      </w:r>
      <w:r w:rsidRPr="005124BC">
        <w:t>.</w:t>
      </w:r>
      <w:r w:rsidRPr="00B4182D">
        <w:t xml:space="preserve"> </w:t>
      </w:r>
      <w:r w:rsidR="002C1F0E">
        <w:t xml:space="preserve">Most TCs elect a Vice Chair prior to the </w:t>
      </w:r>
      <w:r w:rsidR="002C1F0E">
        <w:lastRenderedPageBreak/>
        <w:t xml:space="preserve">end of the current TC Chair’s term. This </w:t>
      </w:r>
      <w:r w:rsidR="0010191B">
        <w:t xml:space="preserve">allows the Vice Chair to work with the current TC Chair prior to beginning their term. </w:t>
      </w:r>
      <w:r w:rsidR="00CF37E6">
        <w:t xml:space="preserve">It is a best practice to elect the Vice Chair in the same calendar year as </w:t>
      </w:r>
      <w:r w:rsidR="009A036F">
        <w:t>the year the TC Chair began their term.</w:t>
      </w:r>
      <w:r w:rsidR="00266AF1">
        <w:t xml:space="preserve"> </w:t>
      </w:r>
      <w:r w:rsidR="000C1993">
        <w:t xml:space="preserve">The outgoing TC Chair should notify their Group Director when a new TC Chair </w:t>
      </w:r>
      <w:r w:rsidR="009A036F">
        <w:t xml:space="preserve">(Vice Chair) </w:t>
      </w:r>
      <w:r w:rsidR="000C1993">
        <w:t xml:space="preserve">has been elected. </w:t>
      </w:r>
      <w:r w:rsidRPr="00B4182D">
        <w:t xml:space="preserve">  </w:t>
      </w:r>
    </w:p>
    <w:p w14:paraId="7CC2D538" w14:textId="0298FA78" w:rsidR="00DC38B5" w:rsidRDefault="00DC38B5" w:rsidP="00C75C38">
      <w:pPr>
        <w:jc w:val="both"/>
        <w:rPr>
          <w:bCs/>
        </w:rPr>
      </w:pPr>
      <w:r>
        <w:rPr>
          <w:bCs/>
        </w:rPr>
        <w:t>On rare o</w:t>
      </w:r>
      <w:r w:rsidRPr="00EF1850">
        <w:rPr>
          <w:bCs/>
        </w:rPr>
        <w:t>ccasion</w:t>
      </w:r>
      <w:r>
        <w:rPr>
          <w:bCs/>
        </w:rPr>
        <w:t>s</w:t>
      </w:r>
      <w:r w:rsidRPr="00EF1850">
        <w:rPr>
          <w:bCs/>
        </w:rPr>
        <w:t>,</w:t>
      </w:r>
      <w:r>
        <w:rPr>
          <w:bCs/>
        </w:rPr>
        <w:t xml:space="preserve"> it may be in the best interest of the Institute to remove elected TC Chairs (or other leaders) from office. This decision may result from </w:t>
      </w:r>
      <w:r w:rsidRPr="00EF1850">
        <w:rPr>
          <w:i/>
        </w:rPr>
        <w:t>c</w:t>
      </w:r>
      <w:r w:rsidRPr="00EF1850">
        <w:rPr>
          <w:bCs/>
          <w:i/>
        </w:rPr>
        <w:t>onduct</w:t>
      </w:r>
      <w:r>
        <w:rPr>
          <w:bCs/>
        </w:rPr>
        <w:t xml:space="preserve"> violating AIAA’s e</w:t>
      </w:r>
      <w:r w:rsidRPr="00EF1850">
        <w:rPr>
          <w:bCs/>
        </w:rPr>
        <w:t>thics</w:t>
      </w:r>
      <w:r>
        <w:t xml:space="preserve"> and anti-harassment policies and/or </w:t>
      </w:r>
      <w:r w:rsidRPr="00EF1850">
        <w:rPr>
          <w:bCs/>
          <w:i/>
        </w:rPr>
        <w:t>performance</w:t>
      </w:r>
      <w:r>
        <w:rPr>
          <w:bCs/>
        </w:rPr>
        <w:t xml:space="preserve"> related to f</w:t>
      </w:r>
      <w:r w:rsidRPr="00EF1850">
        <w:rPr>
          <w:bCs/>
        </w:rPr>
        <w:t>ail</w:t>
      </w:r>
      <w:r>
        <w:rPr>
          <w:bCs/>
        </w:rPr>
        <w:t>ing to p</w:t>
      </w:r>
      <w:r w:rsidRPr="00EF1850">
        <w:rPr>
          <w:bCs/>
        </w:rPr>
        <w:t>erform</w:t>
      </w:r>
      <w:r>
        <w:rPr>
          <w:bCs/>
        </w:rPr>
        <w:t xml:space="preserve"> required TC Chair d</w:t>
      </w:r>
      <w:r w:rsidRPr="00EF1850">
        <w:rPr>
          <w:bCs/>
        </w:rPr>
        <w:t>uties</w:t>
      </w:r>
      <w:r>
        <w:rPr>
          <w:bCs/>
        </w:rPr>
        <w:t xml:space="preserve">. </w:t>
      </w:r>
      <w:r w:rsidRPr="00BD1CE7">
        <w:rPr>
          <w:bCs/>
        </w:rPr>
        <w:t xml:space="preserve">The exact removal process is given in Appendix </w:t>
      </w:r>
      <w:r w:rsidR="00973376" w:rsidRPr="00BD1CE7">
        <w:rPr>
          <w:bCs/>
        </w:rPr>
        <w:t>B</w:t>
      </w:r>
      <w:r w:rsidRPr="00BD1CE7">
        <w:rPr>
          <w:bCs/>
        </w:rPr>
        <w:t>.</w:t>
      </w:r>
    </w:p>
    <w:p w14:paraId="0AF6B430" w14:textId="5E8A0979" w:rsidR="00DB6EAF" w:rsidRDefault="00DB6EAF" w:rsidP="00C75C38">
      <w:pPr>
        <w:jc w:val="both"/>
      </w:pPr>
      <w:r w:rsidRPr="00B4182D">
        <w:t xml:space="preserve">If a TC is struggling to fulfill its chartered role, the </w:t>
      </w:r>
      <w:r>
        <w:t xml:space="preserve">Group </w:t>
      </w:r>
      <w:r w:rsidRPr="00B4182D">
        <w:t xml:space="preserve">Director will work with the TC Chair and existing membership to </w:t>
      </w:r>
      <w:r w:rsidR="00DC38B5">
        <w:t>address the issue</w:t>
      </w:r>
      <w:r w:rsidRPr="00B4182D">
        <w:t xml:space="preserve">. Should this </w:t>
      </w:r>
      <w:r w:rsidR="00DC38B5">
        <w:t xml:space="preserve">intervention be </w:t>
      </w:r>
      <w:r w:rsidRPr="00B4182D">
        <w:t xml:space="preserve">unsuccessful, or if the chartered role of the TC is no longer viable, the </w:t>
      </w:r>
      <w:r w:rsidR="00DC38B5">
        <w:t xml:space="preserve">Group </w:t>
      </w:r>
      <w:r w:rsidRPr="00B4182D">
        <w:t xml:space="preserve">Director may recommend to TAD that the TC be </w:t>
      </w:r>
      <w:r>
        <w:t xml:space="preserve">eliminated or </w:t>
      </w:r>
      <w:r w:rsidR="00DC38B5">
        <w:t>transitioned</w:t>
      </w:r>
      <w:r>
        <w:t xml:space="preserve"> to a CoI</w:t>
      </w:r>
      <w:r w:rsidRPr="00B4182D">
        <w:t>. TAD recommendations for dissolution of a TC are forwarded to the AIAA Board of Trustees for final approval. TIS</w:t>
      </w:r>
      <w:r w:rsidR="00DC38B5">
        <w:t xml:space="preserve"> assists</w:t>
      </w:r>
      <w:r w:rsidRPr="00B4182D">
        <w:t xml:space="preserve"> </w:t>
      </w:r>
      <w:r w:rsidR="00DC38B5">
        <w:t xml:space="preserve">the TAD ESS in </w:t>
      </w:r>
      <w:r w:rsidRPr="00B4182D">
        <w:t>review</w:t>
      </w:r>
      <w:r w:rsidR="00DC38B5">
        <w:t>ing</w:t>
      </w:r>
      <w:r w:rsidRPr="00B4182D">
        <w:t xml:space="preserve"> </w:t>
      </w:r>
      <w:r w:rsidR="00DC38B5">
        <w:t>TC health and recommends necessary actions</w:t>
      </w:r>
      <w:r w:rsidRPr="00B4182D">
        <w:t>.</w:t>
      </w:r>
      <w:r w:rsidR="00B30AD4">
        <w:t xml:space="preserve"> </w:t>
      </w:r>
      <w:r w:rsidR="00EA2199">
        <w:t xml:space="preserve">The TC </w:t>
      </w:r>
      <w:r w:rsidR="00C37182">
        <w:t>d</w:t>
      </w:r>
      <w:r w:rsidR="00EA2199">
        <w:t xml:space="preserve">e-chartering </w:t>
      </w:r>
      <w:r w:rsidR="00E84404">
        <w:t>process is give</w:t>
      </w:r>
      <w:r w:rsidR="006E1F49">
        <w:t>n</w:t>
      </w:r>
      <w:r w:rsidR="00E84404">
        <w:t xml:space="preserve"> in </w:t>
      </w:r>
      <w:r w:rsidR="00B30AD4">
        <w:t>Appendix C</w:t>
      </w:r>
      <w:r w:rsidR="00E84404">
        <w:t>.</w:t>
      </w:r>
    </w:p>
    <w:p w14:paraId="261BFD86" w14:textId="20A08253" w:rsidR="009139DD" w:rsidRDefault="00D83159" w:rsidP="00C75C38">
      <w:pPr>
        <w:pStyle w:val="Heading2"/>
        <w:jc w:val="both"/>
      </w:pPr>
      <w:r>
        <w:t>Operation</w:t>
      </w:r>
    </w:p>
    <w:p w14:paraId="0C09A031" w14:textId="487F2542" w:rsidR="00983346" w:rsidRDefault="00983346" w:rsidP="00C75C38">
      <w:pPr>
        <w:jc w:val="both"/>
      </w:pPr>
      <w:r w:rsidRPr="00C41E2D">
        <w:t xml:space="preserve">TCs should </w:t>
      </w:r>
      <w:r w:rsidR="00DC38B5">
        <w:t>hold</w:t>
      </w:r>
      <w:r w:rsidRPr="00C41E2D">
        <w:t xml:space="preserve"> at least two </w:t>
      </w:r>
      <w:r w:rsidR="00DC38B5">
        <w:t xml:space="preserve">TC </w:t>
      </w:r>
      <w:r w:rsidRPr="00C41E2D">
        <w:t>meetings during the AIAA year</w:t>
      </w:r>
      <w:r w:rsidR="00DC38B5">
        <w:t xml:space="preserve"> (May 1 to April 30)</w:t>
      </w:r>
      <w:r w:rsidRPr="00C41E2D">
        <w:t xml:space="preserve">.  These meetings </w:t>
      </w:r>
      <w:r>
        <w:t>may</w:t>
      </w:r>
      <w:r w:rsidRPr="00C41E2D">
        <w:t xml:space="preserve"> be conducted in conjunction wi</w:t>
      </w:r>
      <w:r>
        <w:t xml:space="preserve">th an AIAA-sponsored conference, </w:t>
      </w:r>
      <w:r w:rsidRPr="00C41E2D">
        <w:t>at AIAA H</w:t>
      </w:r>
      <w:r>
        <w:t>eadquarters, virtually, or at alternate facilities provided by the TC.</w:t>
      </w:r>
    </w:p>
    <w:p w14:paraId="685322E2" w14:textId="49A12A41" w:rsidR="00983346" w:rsidRPr="00E36DE2" w:rsidRDefault="00983346" w:rsidP="00C75C38">
      <w:pPr>
        <w:jc w:val="both"/>
      </w:pPr>
      <w:r w:rsidRPr="00E36DE2">
        <w:t xml:space="preserve">TCs must maintain a charter describing the overall objective for the TC, </w:t>
      </w:r>
      <w:r w:rsidR="00DC38B5">
        <w:t xml:space="preserve">its </w:t>
      </w:r>
      <w:r w:rsidRPr="00E36DE2">
        <w:t>membership and organization, and operational expectations.  Charters must be reviewed annually</w:t>
      </w:r>
      <w:r w:rsidR="00924237">
        <w:t xml:space="preserve"> by TC leadership</w:t>
      </w:r>
      <w:r w:rsidRPr="00E36DE2">
        <w:t xml:space="preserve"> to </w:t>
      </w:r>
      <w:r w:rsidR="00DC38B5">
        <w:t>verify</w:t>
      </w:r>
      <w:r w:rsidRPr="00E36DE2">
        <w:t xml:space="preserve"> they are consistent with current organization and operation of the TC. </w:t>
      </w:r>
      <w:r w:rsidRPr="00EE4BF2">
        <w:t xml:space="preserve">See the </w:t>
      </w:r>
      <w:r w:rsidRPr="00EE4BF2">
        <w:rPr>
          <w:u w:val="single"/>
        </w:rPr>
        <w:t>TC Chair Handbook</w:t>
      </w:r>
      <w:r w:rsidRPr="00EE4BF2">
        <w:t xml:space="preserve"> for a sample charter.</w:t>
      </w:r>
    </w:p>
    <w:p w14:paraId="39269E63" w14:textId="2940A449" w:rsidR="004A3D20" w:rsidRDefault="004A3D20" w:rsidP="00C75C38">
      <w:pPr>
        <w:jc w:val="both"/>
      </w:pPr>
      <w:r>
        <w:t>TCs may be active in a wide range of activities including such as:</w:t>
      </w:r>
    </w:p>
    <w:p w14:paraId="3BAB8074" w14:textId="1DEFC3BA" w:rsidR="00DC38B5" w:rsidRDefault="00DC38B5" w:rsidP="00C75C38">
      <w:pPr>
        <w:pStyle w:val="ListParagraph"/>
        <w:numPr>
          <w:ilvl w:val="0"/>
          <w:numId w:val="20"/>
        </w:numPr>
        <w:jc w:val="both"/>
      </w:pPr>
      <w:r>
        <w:t>Technical programming for AIAA Forums or external conferences</w:t>
      </w:r>
    </w:p>
    <w:p w14:paraId="26497317" w14:textId="77777777" w:rsidR="00DC38B5" w:rsidRDefault="00DC38B5" w:rsidP="00C75C38">
      <w:pPr>
        <w:pStyle w:val="ListParagraph"/>
        <w:numPr>
          <w:ilvl w:val="0"/>
          <w:numId w:val="20"/>
        </w:numPr>
        <w:jc w:val="both"/>
      </w:pPr>
      <w:r>
        <w:t>Honors and Awards</w:t>
      </w:r>
    </w:p>
    <w:p w14:paraId="1997071F" w14:textId="56032BEE" w:rsidR="004A3D20" w:rsidRDefault="00DC38B5" w:rsidP="00C75C38">
      <w:pPr>
        <w:pStyle w:val="ListParagraph"/>
        <w:numPr>
          <w:ilvl w:val="0"/>
          <w:numId w:val="20"/>
        </w:numPr>
        <w:jc w:val="both"/>
      </w:pPr>
      <w:r>
        <w:t>Developing t</w:t>
      </w:r>
      <w:r w:rsidR="004A3D20">
        <w:t>echnical Process</w:t>
      </w:r>
      <w:r>
        <w:t>es</w:t>
      </w:r>
      <w:r w:rsidR="004A3D20">
        <w:t xml:space="preserve">, </w:t>
      </w:r>
      <w:r>
        <w:t>b</w:t>
      </w:r>
      <w:r w:rsidR="004A3D20">
        <w:t xml:space="preserve">est </w:t>
      </w:r>
      <w:r>
        <w:t>p</w:t>
      </w:r>
      <w:r w:rsidR="004A3D20">
        <w:t>ractices</w:t>
      </w:r>
      <w:r>
        <w:t>,</w:t>
      </w:r>
      <w:r w:rsidR="004A3D20">
        <w:t xml:space="preserve"> and </w:t>
      </w:r>
      <w:r>
        <w:t>s</w:t>
      </w:r>
      <w:r w:rsidR="004A3D20">
        <w:t>tandards</w:t>
      </w:r>
    </w:p>
    <w:p w14:paraId="798630E1" w14:textId="77777777" w:rsidR="004A3D20" w:rsidRDefault="004A3D20" w:rsidP="00C75C38">
      <w:pPr>
        <w:pStyle w:val="ListParagraph"/>
        <w:numPr>
          <w:ilvl w:val="0"/>
          <w:numId w:val="20"/>
        </w:numPr>
        <w:jc w:val="both"/>
      </w:pPr>
      <w:r>
        <w:t>Publications</w:t>
      </w:r>
    </w:p>
    <w:p w14:paraId="33F73321" w14:textId="41FBF705" w:rsidR="004A3D20" w:rsidRDefault="004A3D20" w:rsidP="00C75C38">
      <w:pPr>
        <w:pStyle w:val="ListParagraph"/>
        <w:numPr>
          <w:ilvl w:val="0"/>
          <w:numId w:val="20"/>
        </w:numPr>
        <w:jc w:val="both"/>
      </w:pPr>
      <w:r>
        <w:t>Education</w:t>
      </w:r>
      <w:r w:rsidR="00DC38B5">
        <w:t xml:space="preserve"> and outreach activities</w:t>
      </w:r>
    </w:p>
    <w:p w14:paraId="2D714AF6" w14:textId="73F46BC6" w:rsidR="004A3D20" w:rsidRDefault="00DC38B5" w:rsidP="00C75C38">
      <w:pPr>
        <w:pStyle w:val="ListParagraph"/>
        <w:numPr>
          <w:ilvl w:val="0"/>
          <w:numId w:val="20"/>
        </w:numPr>
        <w:jc w:val="both"/>
      </w:pPr>
      <w:r>
        <w:t>Developing p</w:t>
      </w:r>
      <w:r w:rsidR="004A3D20">
        <w:t xml:space="preserve">ublic </w:t>
      </w:r>
      <w:r>
        <w:t>p</w:t>
      </w:r>
      <w:r w:rsidR="004A3D20">
        <w:t>olicy</w:t>
      </w:r>
      <w:r>
        <w:t xml:space="preserve"> or position papers</w:t>
      </w:r>
    </w:p>
    <w:p w14:paraId="633FAACE" w14:textId="77777777" w:rsidR="004A3D20" w:rsidRDefault="004A3D20" w:rsidP="00C75C38">
      <w:pPr>
        <w:pStyle w:val="ListParagraph"/>
        <w:ind w:left="0"/>
        <w:jc w:val="both"/>
        <w:rPr>
          <w:rFonts w:ascii="Cambria" w:hAnsi="Cambria"/>
          <w:sz w:val="24"/>
          <w:szCs w:val="24"/>
        </w:rPr>
      </w:pPr>
    </w:p>
    <w:p w14:paraId="11912725" w14:textId="77777777" w:rsidR="00410229" w:rsidRDefault="00410229" w:rsidP="00C75C38">
      <w:pPr>
        <w:pStyle w:val="ListParagraph"/>
        <w:ind w:left="0"/>
        <w:jc w:val="both"/>
        <w:rPr>
          <w:rFonts w:ascii="Cambria" w:hAnsi="Cambria"/>
          <w:sz w:val="24"/>
          <w:szCs w:val="24"/>
        </w:rPr>
        <w:sectPr w:rsidR="00410229">
          <w:pgSz w:w="12240" w:h="15840"/>
          <w:pgMar w:top="1440" w:right="1440" w:bottom="1440" w:left="1440" w:header="720" w:footer="720" w:gutter="0"/>
          <w:cols w:space="720"/>
          <w:docGrid w:linePitch="360"/>
        </w:sectPr>
      </w:pPr>
    </w:p>
    <w:p w14:paraId="01107F96" w14:textId="6395CB70" w:rsidR="008942A0" w:rsidRDefault="00410229" w:rsidP="00C75C38">
      <w:pPr>
        <w:pStyle w:val="Heading1"/>
        <w:numPr>
          <w:ilvl w:val="0"/>
          <w:numId w:val="0"/>
        </w:numPr>
        <w:ind w:left="432" w:hanging="432"/>
        <w:jc w:val="both"/>
      </w:pPr>
      <w:r>
        <w:lastRenderedPageBreak/>
        <w:t>Appendix A</w:t>
      </w:r>
      <w:r w:rsidR="001258E3">
        <w:tab/>
        <w:t>Active TC Member Definition</w:t>
      </w:r>
    </w:p>
    <w:p w14:paraId="3A570C59" w14:textId="77777777" w:rsidR="001258E3" w:rsidRDefault="00A65518" w:rsidP="00C75C38">
      <w:pPr>
        <w:spacing w:before="240"/>
        <w:jc w:val="both"/>
      </w:pPr>
      <w:r>
        <w:t xml:space="preserve">TIS </w:t>
      </w:r>
      <w:r w:rsidR="00503D2C">
        <w:t>developed a definition for an active TC member. TC Chairs may use this definition to communicate expectations to their TC members.</w:t>
      </w:r>
    </w:p>
    <w:p w14:paraId="0645FFBA" w14:textId="6E736660" w:rsidR="00503D2C" w:rsidRDefault="00503D2C" w:rsidP="00C75C38">
      <w:pPr>
        <w:spacing w:before="240"/>
        <w:jc w:val="both"/>
      </w:pPr>
      <w:r>
        <w:t xml:space="preserve">TC members must be AIAA members (i.e., </w:t>
      </w:r>
      <w:r w:rsidR="00D758E3">
        <w:t>annual membership dues must be paid).</w:t>
      </w:r>
    </w:p>
    <w:p w14:paraId="3DD5B12B" w14:textId="6C25DC42" w:rsidR="00D758E3" w:rsidRDefault="00D758E3" w:rsidP="00C75C38">
      <w:pPr>
        <w:spacing w:before="240"/>
        <w:jc w:val="both"/>
      </w:pPr>
      <w:r>
        <w:t>TC members must stay in communication with their TC Chair by:</w:t>
      </w:r>
    </w:p>
    <w:p w14:paraId="4D98B1C9" w14:textId="07DDB47A" w:rsidR="00D758E3" w:rsidRDefault="00D758E3" w:rsidP="00C75C38">
      <w:pPr>
        <w:pStyle w:val="ListParagraph"/>
        <w:numPr>
          <w:ilvl w:val="0"/>
          <w:numId w:val="22"/>
        </w:numPr>
        <w:spacing w:before="240"/>
        <w:jc w:val="both"/>
      </w:pPr>
      <w:r>
        <w:t>Attending TC and subcommittee meetings</w:t>
      </w:r>
    </w:p>
    <w:p w14:paraId="2D140161" w14:textId="196ACAC3" w:rsidR="00D758E3" w:rsidRDefault="00D758E3" w:rsidP="00C75C38">
      <w:pPr>
        <w:pStyle w:val="ListParagraph"/>
        <w:numPr>
          <w:ilvl w:val="0"/>
          <w:numId w:val="22"/>
        </w:numPr>
        <w:spacing w:before="240"/>
        <w:jc w:val="both"/>
      </w:pPr>
      <w:r>
        <w:t>Notifying TC and subcommittee chairs if you are unable to attend</w:t>
      </w:r>
    </w:p>
    <w:p w14:paraId="382464DD" w14:textId="77777777" w:rsidR="00391A64" w:rsidRDefault="00391A64" w:rsidP="00C75C38">
      <w:pPr>
        <w:pStyle w:val="ListParagraph"/>
        <w:numPr>
          <w:ilvl w:val="0"/>
          <w:numId w:val="22"/>
        </w:numPr>
        <w:spacing w:before="240"/>
        <w:jc w:val="both"/>
      </w:pPr>
      <w:r>
        <w:t>Notifying the TC Secretary of changes in your phone number, email, and organization</w:t>
      </w:r>
    </w:p>
    <w:p w14:paraId="246E13B9" w14:textId="6486C953" w:rsidR="00391A64" w:rsidRDefault="00D47988" w:rsidP="00C75C38">
      <w:pPr>
        <w:pStyle w:val="ListParagraph"/>
        <w:numPr>
          <w:ilvl w:val="0"/>
          <w:numId w:val="22"/>
        </w:numPr>
        <w:spacing w:before="240"/>
        <w:jc w:val="both"/>
      </w:pPr>
      <w:r>
        <w:t>Attending the AIAA Forums or conferences your TC supports</w:t>
      </w:r>
    </w:p>
    <w:p w14:paraId="4C78A1C4" w14:textId="094C9573" w:rsidR="00D47988" w:rsidRDefault="00D47988" w:rsidP="00C75C38">
      <w:pPr>
        <w:pStyle w:val="ListParagraph"/>
        <w:numPr>
          <w:ilvl w:val="0"/>
          <w:numId w:val="22"/>
        </w:numPr>
        <w:spacing w:before="240"/>
        <w:jc w:val="both"/>
      </w:pPr>
      <w:r>
        <w:t>Being responsive to TC leadership communications</w:t>
      </w:r>
    </w:p>
    <w:p w14:paraId="32EB0752" w14:textId="1364D2BB" w:rsidR="00D47988" w:rsidRDefault="00D47988" w:rsidP="00C75C38">
      <w:pPr>
        <w:spacing w:before="240"/>
        <w:jc w:val="both"/>
      </w:pPr>
      <w:r>
        <w:t>TC members must be advocates and champions for AIAA within their organizations.</w:t>
      </w:r>
    </w:p>
    <w:p w14:paraId="7E2F282B" w14:textId="43B08759" w:rsidR="004252B7" w:rsidRPr="004252B7" w:rsidRDefault="004252B7" w:rsidP="00C75C38">
      <w:pPr>
        <w:spacing w:before="240"/>
        <w:jc w:val="both"/>
      </w:pPr>
      <w:r>
        <w:t>TC members must p</w:t>
      </w:r>
      <w:r w:rsidRPr="004252B7">
        <w:t>articipate and contribute substantively</w:t>
      </w:r>
      <w:r>
        <w:t xml:space="preserve">. </w:t>
      </w:r>
      <w:r w:rsidR="005E7300">
        <w:t xml:space="preserve">Substantive contributions </w:t>
      </w:r>
      <w:r w:rsidR="00E82C6F">
        <w:t>may</w:t>
      </w:r>
      <w:r w:rsidR="005E7300">
        <w:t xml:space="preserve"> be made, f</w:t>
      </w:r>
      <w:r>
        <w:t>or example</w:t>
      </w:r>
      <w:r w:rsidR="005E7300">
        <w:t>,</w:t>
      </w:r>
      <w:r>
        <w:t xml:space="preserve"> by:</w:t>
      </w:r>
    </w:p>
    <w:p w14:paraId="7224FD58" w14:textId="2725142B" w:rsidR="004252B7" w:rsidRPr="004252B7" w:rsidRDefault="005E7300" w:rsidP="00C75C38">
      <w:pPr>
        <w:pStyle w:val="ListParagraph"/>
        <w:numPr>
          <w:ilvl w:val="0"/>
          <w:numId w:val="22"/>
        </w:numPr>
        <w:spacing w:before="240"/>
        <w:jc w:val="both"/>
      </w:pPr>
      <w:r>
        <w:t xml:space="preserve">Serving on at least </w:t>
      </w:r>
      <w:r w:rsidR="004252B7" w:rsidRPr="004252B7">
        <w:t>two subcommittees/working groups or conferences</w:t>
      </w:r>
    </w:p>
    <w:p w14:paraId="1017FF66" w14:textId="62E560D6" w:rsidR="004252B7" w:rsidRPr="004252B7" w:rsidRDefault="004252B7" w:rsidP="00C75C38">
      <w:pPr>
        <w:pStyle w:val="ListParagraph"/>
        <w:numPr>
          <w:ilvl w:val="0"/>
          <w:numId w:val="22"/>
        </w:numPr>
        <w:spacing w:before="240"/>
        <w:jc w:val="both"/>
      </w:pPr>
      <w:r w:rsidRPr="004252B7">
        <w:t>Be</w:t>
      </w:r>
      <w:r w:rsidR="005E7300">
        <w:t>ing</w:t>
      </w:r>
      <w:r w:rsidRPr="004252B7">
        <w:t xml:space="preserve"> a major contributor/leader of at least one of these activities</w:t>
      </w:r>
    </w:p>
    <w:p w14:paraId="03ADAB39" w14:textId="77777777" w:rsidR="004252B7" w:rsidRPr="004252B7" w:rsidRDefault="004252B7" w:rsidP="00C75C38">
      <w:pPr>
        <w:spacing w:before="240"/>
        <w:jc w:val="both"/>
      </w:pPr>
      <w:r w:rsidRPr="004252B7">
        <w:t>TC members “in name only” will be at risk of losing their membership spot in favor of active members</w:t>
      </w:r>
    </w:p>
    <w:p w14:paraId="388E61E7" w14:textId="77777777" w:rsidR="004252B7" w:rsidRPr="004252B7" w:rsidRDefault="004252B7" w:rsidP="00C75C38">
      <w:pPr>
        <w:spacing w:before="240"/>
        <w:jc w:val="both"/>
      </w:pPr>
      <w:r w:rsidRPr="004252B7">
        <w:t>Examples of substantive contributions include serving as:</w:t>
      </w:r>
    </w:p>
    <w:p w14:paraId="494EBD99" w14:textId="77777777" w:rsidR="004252B7" w:rsidRPr="004252B7" w:rsidRDefault="004252B7" w:rsidP="00C75C38">
      <w:pPr>
        <w:pStyle w:val="ListParagraph"/>
        <w:numPr>
          <w:ilvl w:val="0"/>
          <w:numId w:val="22"/>
        </w:numPr>
        <w:spacing w:before="240"/>
        <w:jc w:val="both"/>
      </w:pPr>
      <w:r w:rsidRPr="004252B7">
        <w:t>Forum Technical Chair or Deputy Chair (or equivalent for AIAA co-sponsored conferences)</w:t>
      </w:r>
    </w:p>
    <w:p w14:paraId="6CCC78E3" w14:textId="77777777" w:rsidR="004252B7" w:rsidRPr="004252B7" w:rsidRDefault="004252B7" w:rsidP="00C75C38">
      <w:pPr>
        <w:pStyle w:val="ListParagraph"/>
        <w:numPr>
          <w:ilvl w:val="0"/>
          <w:numId w:val="22"/>
        </w:numPr>
        <w:spacing w:before="240"/>
        <w:jc w:val="both"/>
      </w:pPr>
      <w:r w:rsidRPr="004252B7">
        <w:t>Conference Session Chair (or equivalent for AIAA co-sponsored conferences)</w:t>
      </w:r>
    </w:p>
    <w:p w14:paraId="7B46824A" w14:textId="77777777" w:rsidR="004252B7" w:rsidRPr="004252B7" w:rsidRDefault="004252B7" w:rsidP="00C75C38">
      <w:pPr>
        <w:pStyle w:val="ListParagraph"/>
        <w:numPr>
          <w:ilvl w:val="0"/>
          <w:numId w:val="22"/>
        </w:numPr>
        <w:spacing w:before="240"/>
        <w:jc w:val="both"/>
      </w:pPr>
      <w:r w:rsidRPr="004252B7">
        <w:t>Abstract Reviewer</w:t>
      </w:r>
    </w:p>
    <w:p w14:paraId="5B014B64" w14:textId="77777777" w:rsidR="004252B7" w:rsidRPr="004252B7" w:rsidRDefault="004252B7" w:rsidP="00C75C38">
      <w:pPr>
        <w:pStyle w:val="ListParagraph"/>
        <w:numPr>
          <w:ilvl w:val="0"/>
          <w:numId w:val="22"/>
        </w:numPr>
        <w:spacing w:before="240"/>
        <w:jc w:val="both"/>
      </w:pPr>
      <w:r w:rsidRPr="004252B7">
        <w:t>Paper Reviewer for Best Paper/Student Awards</w:t>
      </w:r>
    </w:p>
    <w:p w14:paraId="5BB61491" w14:textId="77777777" w:rsidR="004252B7" w:rsidRPr="004252B7" w:rsidRDefault="004252B7" w:rsidP="00C75C38">
      <w:pPr>
        <w:pStyle w:val="ListParagraph"/>
        <w:numPr>
          <w:ilvl w:val="0"/>
          <w:numId w:val="22"/>
        </w:numPr>
        <w:spacing w:before="240"/>
        <w:jc w:val="both"/>
      </w:pPr>
      <w:r w:rsidRPr="004252B7">
        <w:t>Contributor to Aerospace America Highlights article</w:t>
      </w:r>
    </w:p>
    <w:p w14:paraId="733FE553" w14:textId="77777777" w:rsidR="004252B7" w:rsidRPr="004252B7" w:rsidRDefault="004252B7" w:rsidP="00C75C38">
      <w:pPr>
        <w:pStyle w:val="ListParagraph"/>
        <w:numPr>
          <w:ilvl w:val="0"/>
          <w:numId w:val="22"/>
        </w:numPr>
        <w:spacing w:before="240"/>
        <w:jc w:val="both"/>
      </w:pPr>
      <w:r w:rsidRPr="004252B7">
        <w:t>Contributor to TC products (e.g., standards, policy and position papers)</w:t>
      </w:r>
    </w:p>
    <w:p w14:paraId="754D9B82" w14:textId="77777777" w:rsidR="004252B7" w:rsidRPr="004252B7" w:rsidRDefault="004252B7" w:rsidP="00C75C38">
      <w:pPr>
        <w:pStyle w:val="ListParagraph"/>
        <w:numPr>
          <w:ilvl w:val="0"/>
          <w:numId w:val="22"/>
        </w:numPr>
        <w:spacing w:before="240"/>
        <w:jc w:val="both"/>
      </w:pPr>
      <w:r w:rsidRPr="004252B7">
        <w:t>Liaison to other organizations (e.g., other AIAA TCs/ICs, other professional societies)</w:t>
      </w:r>
    </w:p>
    <w:p w14:paraId="3D53BBE5" w14:textId="6EF092C3" w:rsidR="004252B7" w:rsidRPr="004252B7" w:rsidRDefault="004252B7" w:rsidP="00C75C38">
      <w:pPr>
        <w:spacing w:before="240"/>
        <w:jc w:val="both"/>
      </w:pPr>
      <w:r w:rsidRPr="004252B7">
        <w:t>When the opportunity arises</w:t>
      </w:r>
      <w:r w:rsidR="00E82C6F">
        <w:t>, TC members should:</w:t>
      </w:r>
    </w:p>
    <w:p w14:paraId="505C08CC" w14:textId="77777777" w:rsidR="004252B7" w:rsidRPr="004252B7" w:rsidRDefault="004252B7" w:rsidP="00C75C38">
      <w:pPr>
        <w:pStyle w:val="ListParagraph"/>
        <w:numPr>
          <w:ilvl w:val="0"/>
          <w:numId w:val="22"/>
        </w:numPr>
        <w:spacing w:before="240"/>
        <w:jc w:val="both"/>
      </w:pPr>
      <w:r w:rsidRPr="004252B7">
        <w:t>Submit nominations for new TC members</w:t>
      </w:r>
    </w:p>
    <w:p w14:paraId="69B58B33" w14:textId="5FBCBF83" w:rsidR="00391A64" w:rsidRDefault="004252B7" w:rsidP="00C75C38">
      <w:pPr>
        <w:pStyle w:val="ListParagraph"/>
        <w:numPr>
          <w:ilvl w:val="0"/>
          <w:numId w:val="22"/>
        </w:numPr>
        <w:spacing w:before="240"/>
        <w:jc w:val="both"/>
      </w:pPr>
      <w:r w:rsidRPr="004252B7">
        <w:t>Submit nominations for awards and member grade elevations</w:t>
      </w:r>
    </w:p>
    <w:p w14:paraId="3C6ABD72" w14:textId="77777777" w:rsidR="00391A64" w:rsidRDefault="00391A64" w:rsidP="00C75C38">
      <w:pPr>
        <w:spacing w:before="240"/>
        <w:jc w:val="both"/>
      </w:pPr>
    </w:p>
    <w:p w14:paraId="6D44E96C" w14:textId="77777777" w:rsidR="00391A64" w:rsidRDefault="00391A64" w:rsidP="00C75C38">
      <w:pPr>
        <w:spacing w:before="240"/>
        <w:jc w:val="both"/>
      </w:pPr>
    </w:p>
    <w:p w14:paraId="4AAD0F8A" w14:textId="6A9F3B03" w:rsidR="00391A64" w:rsidRDefault="00391A64" w:rsidP="00C75C38">
      <w:pPr>
        <w:spacing w:before="240"/>
        <w:jc w:val="both"/>
        <w:sectPr w:rsidR="00391A64">
          <w:pgSz w:w="12240" w:h="15840"/>
          <w:pgMar w:top="1440" w:right="1440" w:bottom="1440" w:left="1440" w:header="720" w:footer="720" w:gutter="0"/>
          <w:cols w:space="720"/>
          <w:docGrid w:linePitch="360"/>
        </w:sectPr>
      </w:pPr>
    </w:p>
    <w:p w14:paraId="43DB5D3F" w14:textId="04D4E3F3" w:rsidR="001258E3" w:rsidRDefault="001258E3" w:rsidP="00C75C38">
      <w:pPr>
        <w:pStyle w:val="Heading1"/>
        <w:numPr>
          <w:ilvl w:val="0"/>
          <w:numId w:val="0"/>
        </w:numPr>
        <w:ind w:left="432" w:hanging="432"/>
        <w:jc w:val="both"/>
      </w:pPr>
      <w:r>
        <w:lastRenderedPageBreak/>
        <w:t>Appendix B</w:t>
      </w:r>
      <w:r>
        <w:tab/>
        <w:t xml:space="preserve">Process for </w:t>
      </w:r>
      <w:r w:rsidR="003E2E10">
        <w:t xml:space="preserve">Removing a </w:t>
      </w:r>
      <w:r w:rsidR="00E819B5">
        <w:t>TC</w:t>
      </w:r>
      <w:r w:rsidR="003E2E10">
        <w:t xml:space="preserve"> Chair</w:t>
      </w:r>
    </w:p>
    <w:p w14:paraId="1F9ED014" w14:textId="75A2D95A" w:rsidR="00C76241" w:rsidRDefault="00C76241" w:rsidP="00C75C38">
      <w:pPr>
        <w:jc w:val="both"/>
      </w:pPr>
      <w:r>
        <w:t xml:space="preserve">A proposal to remove a TC Chair may originate from TAD leadership (e.g., Group Director), TC committee members, </w:t>
      </w:r>
      <w:r w:rsidR="00E16B74">
        <w:t xml:space="preserve">or other vested parties. </w:t>
      </w:r>
    </w:p>
    <w:p w14:paraId="63542EA3" w14:textId="313B164D" w:rsidR="00E16B74" w:rsidRDefault="00E16B74" w:rsidP="00C75C38">
      <w:pPr>
        <w:jc w:val="both"/>
      </w:pPr>
      <w:r>
        <w:t xml:space="preserve">The TC’s Group Director is the cognizant authority for dispositioning any issues and must take clear action in response to any assertion. Conduct issues are </w:t>
      </w:r>
      <w:r w:rsidR="002B1953">
        <w:t xml:space="preserve">taken seriously with immediate referral to the appropriate body within AIAA. </w:t>
      </w:r>
    </w:p>
    <w:p w14:paraId="09F7A6E7" w14:textId="3361356D" w:rsidR="002B1953" w:rsidRDefault="002B1953" w:rsidP="00C75C38">
      <w:pPr>
        <w:jc w:val="both"/>
      </w:pPr>
      <w:r>
        <w:t xml:space="preserve">Performance issues should first be addressed </w:t>
      </w:r>
      <w:r w:rsidR="008A22DF">
        <w:t>with counseling and measured improvement. However, if issues cannot be resolved and TC Chair removal is warranted, the follow</w:t>
      </w:r>
      <w:r w:rsidR="00FC213D">
        <w:t>ing steps should be taken:</w:t>
      </w:r>
    </w:p>
    <w:p w14:paraId="35884591" w14:textId="287A3B93" w:rsidR="00FC213D" w:rsidRPr="00FE322C" w:rsidRDefault="00FC213D" w:rsidP="00C75C38">
      <w:pPr>
        <w:pStyle w:val="ListParagraph"/>
        <w:numPr>
          <w:ilvl w:val="0"/>
          <w:numId w:val="31"/>
        </w:numPr>
        <w:jc w:val="both"/>
      </w:pPr>
      <w:r>
        <w:t xml:space="preserve">TAD Executive concurrence </w:t>
      </w:r>
      <w:r w:rsidRPr="00214FA9">
        <w:t>(“Do you agree with this change…”)</w:t>
      </w:r>
    </w:p>
    <w:p w14:paraId="07CD119E" w14:textId="6BC9E9AC" w:rsidR="00FC213D" w:rsidRPr="00FE322C" w:rsidRDefault="00FC213D" w:rsidP="00C75C38">
      <w:pPr>
        <w:pStyle w:val="ListParagraph"/>
        <w:numPr>
          <w:ilvl w:val="0"/>
          <w:numId w:val="31"/>
        </w:numPr>
        <w:jc w:val="both"/>
      </w:pPr>
      <w:r>
        <w:t xml:space="preserve">TC Membership concurrence </w:t>
      </w:r>
      <w:r w:rsidRPr="00214FA9">
        <w:t>(“Do you object to this change…”)</w:t>
      </w:r>
    </w:p>
    <w:p w14:paraId="0F6B2996" w14:textId="6FDECD38" w:rsidR="00FC213D" w:rsidRDefault="00FC213D" w:rsidP="00C75C38">
      <w:pPr>
        <w:pStyle w:val="ListParagraph"/>
        <w:numPr>
          <w:ilvl w:val="0"/>
          <w:numId w:val="31"/>
        </w:numPr>
        <w:jc w:val="both"/>
      </w:pPr>
      <w:r w:rsidRPr="00214FA9">
        <w:t xml:space="preserve">If </w:t>
      </w:r>
      <w:r>
        <w:t>the TC Chair is r</w:t>
      </w:r>
      <w:r w:rsidRPr="00214FA9">
        <w:t xml:space="preserve">emoved, </w:t>
      </w:r>
      <w:r>
        <w:t xml:space="preserve">the Group </w:t>
      </w:r>
      <w:r w:rsidRPr="00214FA9">
        <w:t xml:space="preserve">Director </w:t>
      </w:r>
      <w:r>
        <w:t xml:space="preserve">appoints an acting </w:t>
      </w:r>
      <w:r w:rsidR="00D76AD5">
        <w:t xml:space="preserve">TC </w:t>
      </w:r>
      <w:r>
        <w:t xml:space="preserve">Chair for the remainder of the Chair’s term or until a normal TC election process can be employed. </w:t>
      </w:r>
    </w:p>
    <w:p w14:paraId="5A0EB1C0" w14:textId="7BDC41E5" w:rsidR="00A43F09" w:rsidRDefault="00A43F09" w:rsidP="00A43F09">
      <w:r>
        <w:t xml:space="preserve">The process for TC Chair removal is illustrated in the flowchart. </w:t>
      </w:r>
    </w:p>
    <w:p w14:paraId="4DD640DD" w14:textId="7C721F6C" w:rsidR="00C76241" w:rsidRDefault="00FE322C" w:rsidP="00FE322C">
      <w:pPr>
        <w:jc w:val="center"/>
      </w:pPr>
      <w:r>
        <w:rPr>
          <w:noProof/>
        </w:rPr>
        <w:drawing>
          <wp:inline distT="0" distB="0" distL="0" distR="0" wp14:anchorId="412C6BB2" wp14:editId="009ED835">
            <wp:extent cx="4953255" cy="3060857"/>
            <wp:effectExtent l="0" t="0" r="0" b="6350"/>
            <wp:docPr id="70908029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80296" name="Picture 1"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953255" cy="3060857"/>
                    </a:xfrm>
                    <a:prstGeom prst="rect">
                      <a:avLst/>
                    </a:prstGeom>
                  </pic:spPr>
                </pic:pic>
              </a:graphicData>
            </a:graphic>
          </wp:inline>
        </w:drawing>
      </w:r>
    </w:p>
    <w:p w14:paraId="5700F50F" w14:textId="77777777" w:rsidR="003E2E10" w:rsidRDefault="003E2E10">
      <w:pPr>
        <w:rPr>
          <w:rFonts w:asciiTheme="majorHAnsi" w:eastAsiaTheme="majorEastAsia" w:hAnsiTheme="majorHAnsi" w:cstheme="majorBidi"/>
          <w:color w:val="2F5496" w:themeColor="accent1" w:themeShade="BF"/>
          <w:sz w:val="32"/>
          <w:szCs w:val="32"/>
        </w:rPr>
      </w:pPr>
      <w:r>
        <w:br w:type="page"/>
      </w:r>
    </w:p>
    <w:p w14:paraId="071C31C2" w14:textId="65646198" w:rsidR="003E2E10" w:rsidRDefault="003E2E10" w:rsidP="003E2E10">
      <w:pPr>
        <w:pStyle w:val="Heading1"/>
        <w:numPr>
          <w:ilvl w:val="0"/>
          <w:numId w:val="0"/>
        </w:numPr>
        <w:ind w:left="432" w:hanging="432"/>
      </w:pPr>
      <w:r>
        <w:lastRenderedPageBreak/>
        <w:t>Appendix C</w:t>
      </w:r>
      <w:r>
        <w:tab/>
        <w:t>Process for De-Chartering a TC</w:t>
      </w:r>
    </w:p>
    <w:p w14:paraId="28694483" w14:textId="77777777" w:rsidR="003E2E10" w:rsidRDefault="003E2E10" w:rsidP="00B10AAF"/>
    <w:p w14:paraId="49456161" w14:textId="77777777" w:rsidR="00F530CB" w:rsidRPr="009744FB" w:rsidRDefault="00F530CB" w:rsidP="00C75C38">
      <w:pPr>
        <w:pStyle w:val="ListParagraph"/>
        <w:numPr>
          <w:ilvl w:val="0"/>
          <w:numId w:val="28"/>
        </w:numPr>
        <w:spacing w:line="240" w:lineRule="auto"/>
        <w:jc w:val="both"/>
      </w:pPr>
      <w:r w:rsidRPr="009744FB">
        <w:t xml:space="preserve">The Group Director and TC chair (or a TC representative if the </w:t>
      </w:r>
      <w:r>
        <w:t>C</w:t>
      </w:r>
      <w:r w:rsidRPr="009744FB">
        <w:t xml:space="preserve">hair </w:t>
      </w:r>
      <w:r>
        <w:t>is vacant</w:t>
      </w:r>
      <w:r w:rsidRPr="009744FB">
        <w:t>) assess the situation to see if the current TC can be re-scoped, renamed, or merged with another TC.</w:t>
      </w:r>
    </w:p>
    <w:p w14:paraId="05B5AE9E" w14:textId="77777777" w:rsidR="00F530CB" w:rsidRPr="009744FB" w:rsidRDefault="00F530CB" w:rsidP="00C75C38">
      <w:pPr>
        <w:pStyle w:val="ListParagraph"/>
        <w:spacing w:line="240" w:lineRule="auto"/>
        <w:jc w:val="both"/>
      </w:pPr>
    </w:p>
    <w:p w14:paraId="25F897DA" w14:textId="77777777" w:rsidR="00F530CB" w:rsidRPr="009744FB" w:rsidRDefault="00F530CB" w:rsidP="00C75C38">
      <w:pPr>
        <w:pStyle w:val="ListParagraph"/>
        <w:numPr>
          <w:ilvl w:val="0"/>
          <w:numId w:val="28"/>
        </w:numPr>
        <w:spacing w:line="240" w:lineRule="auto"/>
        <w:jc w:val="both"/>
      </w:pPr>
      <w:r w:rsidRPr="009744FB">
        <w:t>If the Group Director and TC representative decide that the TC should be de-chartered, they evaluate the TC charter for any continuing need for/interest in this</w:t>
      </w:r>
      <w:r>
        <w:t xml:space="preserve"> represented</w:t>
      </w:r>
      <w:r w:rsidRPr="009744FB">
        <w:t xml:space="preserve"> discipline, or any part of it. This evaluation should include input from the other TCs in the Group, relevant TCs in other </w:t>
      </w:r>
      <w:r>
        <w:t>G</w:t>
      </w:r>
      <w:r w:rsidRPr="009744FB">
        <w:t>roups, and relevant committees in IOD.</w:t>
      </w:r>
    </w:p>
    <w:p w14:paraId="4CE63F5D" w14:textId="77777777" w:rsidR="00F530CB" w:rsidRPr="009744FB" w:rsidRDefault="00F530CB" w:rsidP="00C75C38">
      <w:pPr>
        <w:pStyle w:val="ListParagraph"/>
        <w:spacing w:line="240" w:lineRule="auto"/>
        <w:jc w:val="both"/>
      </w:pPr>
    </w:p>
    <w:p w14:paraId="3819C354" w14:textId="77777777" w:rsidR="00F530CB" w:rsidRPr="009744FB" w:rsidRDefault="00F530CB" w:rsidP="00C75C38">
      <w:pPr>
        <w:pStyle w:val="ListParagraph"/>
        <w:numPr>
          <w:ilvl w:val="0"/>
          <w:numId w:val="28"/>
        </w:numPr>
        <w:spacing w:line="240" w:lineRule="auto"/>
        <w:jc w:val="both"/>
      </w:pPr>
      <w:r w:rsidRPr="009744FB">
        <w:t xml:space="preserve"> The TC representative completes the “AIAA Technical Committee Application to De-Charter”.</w:t>
      </w:r>
    </w:p>
    <w:p w14:paraId="4F67409C" w14:textId="77777777" w:rsidR="00F530CB" w:rsidRPr="009744FB" w:rsidRDefault="00F530CB" w:rsidP="00C75C38">
      <w:pPr>
        <w:pStyle w:val="ListParagraph"/>
        <w:spacing w:line="240" w:lineRule="auto"/>
        <w:jc w:val="both"/>
      </w:pPr>
    </w:p>
    <w:p w14:paraId="47268B5F" w14:textId="77777777" w:rsidR="00F530CB" w:rsidRDefault="00F530CB" w:rsidP="00C75C38">
      <w:pPr>
        <w:pStyle w:val="ListParagraph"/>
        <w:numPr>
          <w:ilvl w:val="0"/>
          <w:numId w:val="28"/>
        </w:numPr>
        <w:spacing w:line="240" w:lineRule="auto"/>
        <w:jc w:val="both"/>
      </w:pPr>
      <w:r>
        <w:t>T</w:t>
      </w:r>
      <w:r w:rsidRPr="009744FB">
        <w:t>he TC representative provide</w:t>
      </w:r>
      <w:r>
        <w:t>s</w:t>
      </w:r>
      <w:r w:rsidRPr="009744FB">
        <w:t xml:space="preserve"> the Group Director </w:t>
      </w:r>
      <w:r>
        <w:t xml:space="preserve">with an accounting of its assets and </w:t>
      </w:r>
      <w:r w:rsidRPr="009744FB">
        <w:t xml:space="preserve">a recommendation </w:t>
      </w:r>
      <w:r>
        <w:t xml:space="preserve">for </w:t>
      </w:r>
      <w:r w:rsidRPr="009744FB">
        <w:t xml:space="preserve">the distribution of </w:t>
      </w:r>
      <w:r>
        <w:t>those</w:t>
      </w:r>
      <w:r w:rsidRPr="009744FB">
        <w:t xml:space="preserve"> assets.</w:t>
      </w:r>
      <w:r>
        <w:t xml:space="preserve"> If the TC manages or has input to an AIAA award, the recommendation will include how the award will be handled if the TC is de-chartered.</w:t>
      </w:r>
    </w:p>
    <w:p w14:paraId="2CBD882A" w14:textId="77777777" w:rsidR="00F530CB" w:rsidRDefault="00F530CB" w:rsidP="00C75C38">
      <w:pPr>
        <w:pStyle w:val="ListParagraph"/>
        <w:jc w:val="both"/>
      </w:pPr>
    </w:p>
    <w:p w14:paraId="7E1D8620" w14:textId="77777777" w:rsidR="00F530CB" w:rsidRDefault="00F530CB" w:rsidP="00C75C38">
      <w:pPr>
        <w:pStyle w:val="ListParagraph"/>
        <w:numPr>
          <w:ilvl w:val="0"/>
          <w:numId w:val="28"/>
        </w:numPr>
        <w:spacing w:line="240" w:lineRule="auto"/>
        <w:jc w:val="both"/>
      </w:pPr>
      <w:r>
        <w:t xml:space="preserve">The </w:t>
      </w:r>
      <w:r w:rsidRPr="009744FB">
        <w:t>Group Director and TC representative</w:t>
      </w:r>
      <w:r>
        <w:t xml:space="preserve"> communicate to all members of the TC about the proposed de-chartering (including information about other relevant TCs) to ensure members are aware and can express interest in joining another TC if desired. The creation of a community of interest around the topic area is also a possibility.</w:t>
      </w:r>
    </w:p>
    <w:p w14:paraId="4DAF75C8" w14:textId="77777777" w:rsidR="00F530CB" w:rsidRDefault="00F530CB" w:rsidP="00C75C38">
      <w:pPr>
        <w:pStyle w:val="ListParagraph"/>
        <w:jc w:val="both"/>
      </w:pPr>
    </w:p>
    <w:p w14:paraId="5F4652BF" w14:textId="77777777" w:rsidR="00F530CB" w:rsidRDefault="00F530CB" w:rsidP="00C75C38">
      <w:pPr>
        <w:pStyle w:val="ListParagraph"/>
        <w:numPr>
          <w:ilvl w:val="0"/>
          <w:numId w:val="28"/>
        </w:numPr>
        <w:spacing w:line="240" w:lineRule="auto"/>
        <w:jc w:val="both"/>
      </w:pPr>
      <w:r>
        <w:t>A public post to TC Chairs is made on Engage about the proposed de-chartering so all TC Chairs can provide input within three weeks.</w:t>
      </w:r>
    </w:p>
    <w:p w14:paraId="27E1421B" w14:textId="77777777" w:rsidR="00F530CB" w:rsidRDefault="00F530CB" w:rsidP="00C75C38">
      <w:pPr>
        <w:pStyle w:val="ListParagraph"/>
        <w:spacing w:line="240" w:lineRule="auto"/>
        <w:jc w:val="both"/>
      </w:pPr>
    </w:p>
    <w:p w14:paraId="07B1BBB0" w14:textId="77777777" w:rsidR="00F530CB" w:rsidRDefault="00F530CB" w:rsidP="00C75C38">
      <w:pPr>
        <w:pStyle w:val="ListParagraph"/>
        <w:numPr>
          <w:ilvl w:val="0"/>
          <w:numId w:val="28"/>
        </w:numPr>
        <w:spacing w:line="240" w:lineRule="auto"/>
        <w:jc w:val="both"/>
      </w:pPr>
      <w:r w:rsidRPr="009744FB">
        <w:t>The Group Director</w:t>
      </w:r>
      <w:r>
        <w:t xml:space="preserve"> and TC representative</w:t>
      </w:r>
      <w:r w:rsidRPr="009744FB">
        <w:t xml:space="preserve"> present the recommendation to de-charter to </w:t>
      </w:r>
      <w:r>
        <w:t xml:space="preserve">the </w:t>
      </w:r>
      <w:r w:rsidRPr="009744FB">
        <w:t>TAD Executive</w:t>
      </w:r>
      <w:r>
        <w:t xml:space="preserve"> Subcommittee (TAD Exec)</w:t>
      </w:r>
      <w:r w:rsidRPr="009744FB">
        <w:t xml:space="preserve">. </w:t>
      </w:r>
    </w:p>
    <w:p w14:paraId="4879F30E" w14:textId="77777777" w:rsidR="00F530CB" w:rsidRDefault="00F530CB" w:rsidP="00C75C38">
      <w:pPr>
        <w:pStyle w:val="ListParagraph"/>
        <w:jc w:val="both"/>
      </w:pPr>
    </w:p>
    <w:p w14:paraId="096E28B2" w14:textId="77777777" w:rsidR="00F530CB" w:rsidRPr="009744FB" w:rsidRDefault="00F530CB" w:rsidP="00C75C38">
      <w:pPr>
        <w:pStyle w:val="ListParagraph"/>
        <w:numPr>
          <w:ilvl w:val="1"/>
          <w:numId w:val="28"/>
        </w:numPr>
        <w:spacing w:line="240" w:lineRule="auto"/>
        <w:jc w:val="both"/>
      </w:pPr>
      <w:r>
        <w:t>The TAD Executive Committee may request additional information before rendering a decision, including a discussion of options other than de-chartering that may not have been recognized/considered.</w:t>
      </w:r>
    </w:p>
    <w:p w14:paraId="621BE883" w14:textId="77777777" w:rsidR="00F530CB" w:rsidRPr="009744FB" w:rsidRDefault="00F530CB" w:rsidP="00C75C38">
      <w:pPr>
        <w:pStyle w:val="ListParagraph"/>
        <w:spacing w:line="240" w:lineRule="auto"/>
        <w:jc w:val="both"/>
      </w:pPr>
    </w:p>
    <w:p w14:paraId="63B3DE1A" w14:textId="77777777" w:rsidR="00F530CB" w:rsidRDefault="00F530CB" w:rsidP="00C75C38">
      <w:pPr>
        <w:pStyle w:val="ListParagraph"/>
        <w:numPr>
          <w:ilvl w:val="0"/>
          <w:numId w:val="28"/>
        </w:numPr>
        <w:spacing w:line="240" w:lineRule="auto"/>
        <w:jc w:val="both"/>
      </w:pPr>
      <w:r w:rsidRPr="009744FB">
        <w:t>If TAD Exec</w:t>
      </w:r>
      <w:r>
        <w:t xml:space="preserve"> </w:t>
      </w:r>
      <w:r w:rsidRPr="009744FB">
        <w:t>approves de-chartering the TC, the TAD Chief presents the recommendation to de-charter to the Council of Directors.</w:t>
      </w:r>
    </w:p>
    <w:p w14:paraId="065C7699" w14:textId="77777777" w:rsidR="00F530CB" w:rsidRDefault="00F530CB" w:rsidP="00C75C38">
      <w:pPr>
        <w:pStyle w:val="ListParagraph"/>
        <w:jc w:val="both"/>
      </w:pPr>
    </w:p>
    <w:p w14:paraId="243E7552" w14:textId="77777777" w:rsidR="00F530CB" w:rsidRDefault="00F530CB" w:rsidP="00C75C38">
      <w:pPr>
        <w:pStyle w:val="ListParagraph"/>
        <w:numPr>
          <w:ilvl w:val="0"/>
          <w:numId w:val="28"/>
        </w:numPr>
        <w:spacing w:line="240" w:lineRule="auto"/>
        <w:jc w:val="both"/>
      </w:pPr>
      <w:r>
        <w:t>The TC is inactive immediately upon approval by the Council of Directors. If the Council of Directors does not approve the de-chartering, the Group Director and TC Representative will work with TAD Exec to determine the next steps.</w:t>
      </w:r>
    </w:p>
    <w:p w14:paraId="0B2784F0" w14:textId="77777777" w:rsidR="00F530CB" w:rsidRDefault="00F530CB" w:rsidP="00C75C38">
      <w:pPr>
        <w:pStyle w:val="ListParagraph"/>
        <w:jc w:val="both"/>
      </w:pPr>
    </w:p>
    <w:p w14:paraId="06239CDE" w14:textId="77777777" w:rsidR="00F530CB" w:rsidRPr="009744FB" w:rsidRDefault="00F530CB" w:rsidP="00C75C38">
      <w:pPr>
        <w:pStyle w:val="ListParagraph"/>
        <w:numPr>
          <w:ilvl w:val="0"/>
          <w:numId w:val="28"/>
        </w:numPr>
        <w:spacing w:line="240" w:lineRule="auto"/>
        <w:jc w:val="both"/>
      </w:pPr>
      <w:r>
        <w:t>A communication is sent to members of all TCs about the de-chartering for information purposes.</w:t>
      </w:r>
    </w:p>
    <w:p w14:paraId="1F45B489" w14:textId="77777777" w:rsidR="00F530CB" w:rsidRPr="009744FB" w:rsidRDefault="00F530CB" w:rsidP="00C75C38">
      <w:pPr>
        <w:pStyle w:val="ListParagraph"/>
        <w:spacing w:line="240" w:lineRule="auto"/>
        <w:jc w:val="both"/>
      </w:pPr>
    </w:p>
    <w:p w14:paraId="502BB4F9" w14:textId="77777777" w:rsidR="00F530CB" w:rsidRDefault="00F530CB" w:rsidP="00C75C38">
      <w:pPr>
        <w:pStyle w:val="ListParagraph"/>
        <w:jc w:val="both"/>
      </w:pPr>
    </w:p>
    <w:p w14:paraId="37CAA00E" w14:textId="77777777" w:rsidR="00F530CB" w:rsidRDefault="00F530CB" w:rsidP="00C75C38">
      <w:pPr>
        <w:pStyle w:val="ListParagraph"/>
        <w:numPr>
          <w:ilvl w:val="0"/>
          <w:numId w:val="28"/>
        </w:numPr>
        <w:spacing w:line="240" w:lineRule="auto"/>
        <w:jc w:val="both"/>
      </w:pPr>
      <w:r>
        <w:br w:type="page"/>
      </w:r>
    </w:p>
    <w:p w14:paraId="736B0CA1" w14:textId="77777777" w:rsidR="00F530CB" w:rsidRPr="00333F4C" w:rsidRDefault="00F530CB" w:rsidP="00C75C38">
      <w:pPr>
        <w:spacing w:line="240" w:lineRule="auto"/>
        <w:jc w:val="both"/>
        <w:rPr>
          <w:b/>
          <w:bCs/>
          <w:sz w:val="28"/>
          <w:szCs w:val="28"/>
        </w:rPr>
      </w:pPr>
      <w:bookmarkStart w:id="1" w:name="_Hlk142555185"/>
      <w:r w:rsidRPr="00C9677D">
        <w:rPr>
          <w:b/>
          <w:bCs/>
          <w:sz w:val="28"/>
          <w:szCs w:val="28"/>
        </w:rPr>
        <w:lastRenderedPageBreak/>
        <w:t>AIAA Technical Committee Application</w:t>
      </w:r>
      <w:r>
        <w:rPr>
          <w:b/>
          <w:bCs/>
          <w:sz w:val="28"/>
          <w:szCs w:val="28"/>
        </w:rPr>
        <w:t xml:space="preserve"> to De-Charter</w:t>
      </w:r>
    </w:p>
    <w:bookmarkEnd w:id="1"/>
    <w:p w14:paraId="6CD06AA1" w14:textId="77777777" w:rsidR="00F530CB" w:rsidRDefault="00F530CB" w:rsidP="00C75C38">
      <w:pPr>
        <w:spacing w:after="0" w:line="240" w:lineRule="auto"/>
        <w:jc w:val="both"/>
      </w:pPr>
    </w:p>
    <w:p w14:paraId="1297A34B" w14:textId="77777777" w:rsidR="00F530CB" w:rsidRDefault="00F530CB" w:rsidP="00C75C38">
      <w:pPr>
        <w:spacing w:line="240" w:lineRule="auto"/>
        <w:jc w:val="both"/>
        <w:rPr>
          <w:b/>
          <w:bCs/>
          <w:sz w:val="24"/>
          <w:szCs w:val="24"/>
          <w:u w:val="single"/>
        </w:rPr>
      </w:pPr>
      <w:r w:rsidRPr="000A1D7A">
        <w:rPr>
          <w:b/>
          <w:bCs/>
          <w:sz w:val="24"/>
          <w:szCs w:val="24"/>
          <w:u w:val="single"/>
        </w:rPr>
        <w:t>General Information</w:t>
      </w:r>
    </w:p>
    <w:p w14:paraId="5E603103" w14:textId="77777777" w:rsidR="00F530CB" w:rsidRPr="000A1D7A" w:rsidRDefault="00F530CB" w:rsidP="00C75C38">
      <w:pPr>
        <w:spacing w:after="0" w:line="240" w:lineRule="auto"/>
        <w:jc w:val="both"/>
        <w:rPr>
          <w:b/>
          <w:bCs/>
          <w:sz w:val="24"/>
          <w:szCs w:val="24"/>
          <w:u w:val="single"/>
        </w:rPr>
      </w:pPr>
    </w:p>
    <w:p w14:paraId="2B4525D8" w14:textId="77777777" w:rsidR="00F530CB" w:rsidRDefault="00F530CB" w:rsidP="00C75C38">
      <w:pPr>
        <w:pStyle w:val="ListParagraph"/>
        <w:numPr>
          <w:ilvl w:val="0"/>
          <w:numId w:val="24"/>
        </w:numPr>
        <w:spacing w:line="240" w:lineRule="auto"/>
        <w:jc w:val="both"/>
      </w:pPr>
      <w:r>
        <w:t xml:space="preserve">TC Name / Group Affiliation </w:t>
      </w:r>
    </w:p>
    <w:p w14:paraId="16C99C93" w14:textId="77777777" w:rsidR="00F530CB" w:rsidRDefault="00F530CB" w:rsidP="00C75C38">
      <w:pPr>
        <w:pStyle w:val="ListParagraph"/>
        <w:spacing w:line="240" w:lineRule="auto"/>
        <w:jc w:val="both"/>
      </w:pPr>
    </w:p>
    <w:p w14:paraId="4F88635B" w14:textId="77777777" w:rsidR="00F530CB" w:rsidRDefault="00F530CB" w:rsidP="00C75C38">
      <w:pPr>
        <w:pStyle w:val="ListParagraph"/>
        <w:numPr>
          <w:ilvl w:val="0"/>
          <w:numId w:val="24"/>
        </w:numPr>
        <w:spacing w:line="240" w:lineRule="auto"/>
        <w:jc w:val="both"/>
      </w:pPr>
      <w:r>
        <w:t>Point of Contact: Name, Email, Phone</w:t>
      </w:r>
    </w:p>
    <w:p w14:paraId="3E587D7D" w14:textId="77777777" w:rsidR="00F530CB" w:rsidRDefault="00F530CB" w:rsidP="00C75C38">
      <w:pPr>
        <w:pStyle w:val="ListParagraph"/>
        <w:jc w:val="both"/>
      </w:pPr>
    </w:p>
    <w:p w14:paraId="63D2FFAC" w14:textId="77777777" w:rsidR="00F530CB" w:rsidRDefault="00F530CB" w:rsidP="00C75C38">
      <w:pPr>
        <w:pStyle w:val="ListParagraph"/>
        <w:numPr>
          <w:ilvl w:val="0"/>
          <w:numId w:val="24"/>
        </w:numPr>
        <w:spacing w:line="240" w:lineRule="auto"/>
        <w:jc w:val="both"/>
      </w:pPr>
      <w:r>
        <w:t>Reason for de-chartering (e.g., insufficient membership, topic/scope no longer relevant)</w:t>
      </w:r>
    </w:p>
    <w:p w14:paraId="30A74C77" w14:textId="77777777" w:rsidR="00F530CB" w:rsidRDefault="00F530CB" w:rsidP="00C75C38">
      <w:pPr>
        <w:pStyle w:val="ListParagraph"/>
        <w:spacing w:line="240" w:lineRule="auto"/>
        <w:jc w:val="both"/>
      </w:pPr>
    </w:p>
    <w:p w14:paraId="1D2D490D" w14:textId="77777777" w:rsidR="00F530CB" w:rsidRDefault="00F530CB" w:rsidP="00C75C38">
      <w:pPr>
        <w:pStyle w:val="ListParagraph"/>
        <w:numPr>
          <w:ilvl w:val="0"/>
          <w:numId w:val="24"/>
        </w:numPr>
        <w:spacing w:line="240" w:lineRule="auto"/>
        <w:jc w:val="both"/>
      </w:pPr>
      <w:r>
        <w:t>Current TC Roster [Upload]</w:t>
      </w:r>
    </w:p>
    <w:p w14:paraId="6D5826B3" w14:textId="77777777" w:rsidR="00F530CB" w:rsidRDefault="00F530CB" w:rsidP="00C75C38">
      <w:pPr>
        <w:pStyle w:val="ListParagraph"/>
        <w:spacing w:line="240" w:lineRule="auto"/>
        <w:jc w:val="both"/>
      </w:pPr>
    </w:p>
    <w:p w14:paraId="69D19CF5" w14:textId="77777777" w:rsidR="00F530CB" w:rsidRDefault="00F530CB" w:rsidP="00C75C38">
      <w:pPr>
        <w:pStyle w:val="ListParagraph"/>
        <w:numPr>
          <w:ilvl w:val="0"/>
          <w:numId w:val="24"/>
        </w:numPr>
        <w:spacing w:after="0" w:line="240" w:lineRule="auto"/>
        <w:jc w:val="both"/>
      </w:pPr>
      <w:r>
        <w:t>TC charter [Upload]</w:t>
      </w:r>
    </w:p>
    <w:p w14:paraId="297F4DA1" w14:textId="77777777" w:rsidR="00F530CB" w:rsidRDefault="00F530CB" w:rsidP="00C75C38">
      <w:pPr>
        <w:spacing w:after="0" w:line="240" w:lineRule="auto"/>
        <w:jc w:val="both"/>
        <w:rPr>
          <w:u w:val="single"/>
        </w:rPr>
      </w:pPr>
    </w:p>
    <w:p w14:paraId="3600593D" w14:textId="0B891068" w:rsidR="00F530CB" w:rsidRPr="000A1D7A" w:rsidRDefault="00F530CB" w:rsidP="00C75C38">
      <w:pPr>
        <w:spacing w:line="240" w:lineRule="auto"/>
        <w:jc w:val="both"/>
        <w:rPr>
          <w:b/>
          <w:bCs/>
          <w:sz w:val="24"/>
          <w:szCs w:val="24"/>
          <w:u w:val="single"/>
        </w:rPr>
      </w:pPr>
      <w:r w:rsidRPr="000A1D7A">
        <w:rPr>
          <w:b/>
          <w:bCs/>
          <w:sz w:val="24"/>
          <w:szCs w:val="24"/>
          <w:u w:val="single"/>
        </w:rPr>
        <w:t>TC Focus &amp; Activities</w:t>
      </w:r>
    </w:p>
    <w:p w14:paraId="466C55B2" w14:textId="77777777" w:rsidR="00F530CB" w:rsidRDefault="00F530CB" w:rsidP="00C75C38">
      <w:pPr>
        <w:pStyle w:val="ListParagraph"/>
        <w:numPr>
          <w:ilvl w:val="0"/>
          <w:numId w:val="25"/>
        </w:numPr>
        <w:spacing w:line="240" w:lineRule="auto"/>
        <w:jc w:val="both"/>
      </w:pPr>
      <w:r>
        <w:t>Please provide the existing approved TC Scope</w:t>
      </w:r>
    </w:p>
    <w:p w14:paraId="45207404" w14:textId="77777777" w:rsidR="00F530CB" w:rsidRDefault="00F530CB" w:rsidP="00C75C38">
      <w:pPr>
        <w:pStyle w:val="ListParagraph"/>
        <w:spacing w:line="240" w:lineRule="auto"/>
        <w:jc w:val="both"/>
      </w:pPr>
    </w:p>
    <w:p w14:paraId="090F9BF1" w14:textId="77777777" w:rsidR="00F530CB" w:rsidRDefault="00F530CB" w:rsidP="00C75C38">
      <w:pPr>
        <w:pStyle w:val="ListParagraph"/>
        <w:numPr>
          <w:ilvl w:val="0"/>
          <w:numId w:val="25"/>
        </w:numPr>
        <w:spacing w:line="240" w:lineRule="auto"/>
        <w:jc w:val="both"/>
      </w:pPr>
      <w:r>
        <w:t>Is there any part of the TC scope/focus of ongoing value/relevancy that could be absorbed into a different TC or other AIAA committee or be the basis of a new community of interest?</w:t>
      </w:r>
      <w:r>
        <w:br/>
      </w:r>
    </w:p>
    <w:p w14:paraId="36DE21E7" w14:textId="2F069A01" w:rsidR="00F530CB" w:rsidRDefault="00F530CB" w:rsidP="00E671FF">
      <w:pPr>
        <w:pStyle w:val="ListParagraph"/>
        <w:numPr>
          <w:ilvl w:val="1"/>
          <w:numId w:val="25"/>
        </w:numPr>
        <w:spacing w:line="240" w:lineRule="auto"/>
        <w:jc w:val="both"/>
      </w:pPr>
      <w:r>
        <w:t>If yes, please provide details.</w:t>
      </w:r>
      <w:r w:rsidR="00E671FF">
        <w:t>\</w:t>
      </w:r>
    </w:p>
    <w:p w14:paraId="3C34ADCC" w14:textId="77777777" w:rsidR="00E671FF" w:rsidRDefault="00E671FF" w:rsidP="00C75C38">
      <w:pPr>
        <w:pStyle w:val="ListParagraph"/>
        <w:spacing w:line="240" w:lineRule="auto"/>
        <w:ind w:left="1440"/>
        <w:jc w:val="both"/>
      </w:pPr>
    </w:p>
    <w:p w14:paraId="6CCC3A9A" w14:textId="77777777" w:rsidR="00E671FF" w:rsidRDefault="00F530CB" w:rsidP="00602443">
      <w:pPr>
        <w:pStyle w:val="ListParagraph"/>
        <w:numPr>
          <w:ilvl w:val="0"/>
          <w:numId w:val="25"/>
        </w:numPr>
        <w:spacing w:line="240" w:lineRule="auto"/>
        <w:jc w:val="both"/>
      </w:pPr>
      <w:r>
        <w:t>Are there TC activities that would be of value to AIAA and the community to continue (e.g., conference sessions, short courses, STEM outreach, award oversight)?</w:t>
      </w:r>
    </w:p>
    <w:p w14:paraId="02C75AFC" w14:textId="2B4EECF5" w:rsidR="00F530CB" w:rsidRDefault="00F530CB" w:rsidP="00C75C38">
      <w:pPr>
        <w:pStyle w:val="ListParagraph"/>
        <w:spacing w:line="240" w:lineRule="auto"/>
        <w:jc w:val="both"/>
      </w:pPr>
    </w:p>
    <w:p w14:paraId="34FA34A3" w14:textId="77777777" w:rsidR="00F530CB" w:rsidRDefault="00F530CB" w:rsidP="00C75C38">
      <w:pPr>
        <w:pStyle w:val="ListParagraph"/>
        <w:numPr>
          <w:ilvl w:val="1"/>
          <w:numId w:val="25"/>
        </w:numPr>
        <w:spacing w:line="240" w:lineRule="auto"/>
        <w:jc w:val="both"/>
      </w:pPr>
      <w:r>
        <w:t>If so, please describe.</w:t>
      </w:r>
    </w:p>
    <w:p w14:paraId="2E7F67A3" w14:textId="0DE54F9E" w:rsidR="00E671FF" w:rsidRPr="00E671FF" w:rsidRDefault="00F530CB" w:rsidP="00C75C38">
      <w:pPr>
        <w:pStyle w:val="pf0"/>
        <w:numPr>
          <w:ilvl w:val="0"/>
          <w:numId w:val="25"/>
        </w:numPr>
        <w:jc w:val="both"/>
        <w:rPr>
          <w:rFonts w:cstheme="minorHAnsi"/>
        </w:rPr>
      </w:pPr>
      <w:r>
        <w:rPr>
          <w:rStyle w:val="cf01"/>
          <w:rFonts w:asciiTheme="minorHAnsi" w:eastAsia="Calibri" w:hAnsiTheme="minorHAnsi" w:cstheme="minorHAnsi"/>
          <w:sz w:val="22"/>
          <w:szCs w:val="22"/>
        </w:rPr>
        <w:t xml:space="preserve">Does the </w:t>
      </w:r>
      <w:r w:rsidRPr="00A722BA">
        <w:rPr>
          <w:rStyle w:val="cf01"/>
          <w:rFonts w:asciiTheme="minorHAnsi" w:eastAsia="Calibri" w:hAnsiTheme="minorHAnsi" w:cstheme="minorHAnsi"/>
          <w:sz w:val="22"/>
          <w:szCs w:val="22"/>
        </w:rPr>
        <w:t>TC ha</w:t>
      </w:r>
      <w:r>
        <w:rPr>
          <w:rStyle w:val="cf01"/>
          <w:rFonts w:asciiTheme="minorHAnsi" w:eastAsia="Calibri" w:hAnsiTheme="minorHAnsi" w:cstheme="minorHAnsi"/>
          <w:sz w:val="22"/>
          <w:szCs w:val="22"/>
        </w:rPr>
        <w:t>ve</w:t>
      </w:r>
      <w:r w:rsidRPr="00A722BA">
        <w:rPr>
          <w:rStyle w:val="cf01"/>
          <w:rFonts w:asciiTheme="minorHAnsi" w:eastAsia="Calibri" w:hAnsiTheme="minorHAnsi" w:cstheme="minorHAnsi"/>
          <w:sz w:val="22"/>
          <w:szCs w:val="22"/>
        </w:rPr>
        <w:t xml:space="preserve"> any outstanding commitments</w:t>
      </w:r>
      <w:r>
        <w:rPr>
          <w:rStyle w:val="cf01"/>
          <w:rFonts w:asciiTheme="minorHAnsi" w:eastAsia="Calibri" w:hAnsiTheme="minorHAnsi" w:cstheme="minorHAnsi"/>
          <w:sz w:val="22"/>
          <w:szCs w:val="22"/>
        </w:rPr>
        <w:t xml:space="preserve"> (</w:t>
      </w:r>
      <w:r w:rsidRPr="00A722BA">
        <w:rPr>
          <w:rStyle w:val="cf01"/>
          <w:rFonts w:asciiTheme="minorHAnsi" w:eastAsia="Calibri" w:hAnsiTheme="minorHAnsi" w:cstheme="minorHAnsi"/>
          <w:sz w:val="22"/>
          <w:szCs w:val="22"/>
        </w:rPr>
        <w:t>e.g., to outside organizations</w:t>
      </w:r>
      <w:r>
        <w:rPr>
          <w:rStyle w:val="cf01"/>
          <w:rFonts w:asciiTheme="minorHAnsi" w:eastAsia="Calibri" w:hAnsiTheme="minorHAnsi" w:cstheme="minorHAnsi"/>
          <w:sz w:val="22"/>
          <w:szCs w:val="22"/>
        </w:rPr>
        <w:t xml:space="preserve"> or </w:t>
      </w:r>
      <w:r w:rsidRPr="00A722BA">
        <w:rPr>
          <w:rStyle w:val="cf01"/>
          <w:rFonts w:asciiTheme="minorHAnsi" w:eastAsia="Calibri" w:hAnsiTheme="minorHAnsi" w:cstheme="minorHAnsi"/>
          <w:sz w:val="22"/>
          <w:szCs w:val="22"/>
        </w:rPr>
        <w:t>to other parts of AIAA</w:t>
      </w:r>
      <w:r>
        <w:rPr>
          <w:rStyle w:val="cf01"/>
          <w:rFonts w:asciiTheme="minorHAnsi" w:eastAsia="Calibri" w:hAnsiTheme="minorHAnsi" w:cstheme="minorHAnsi"/>
          <w:sz w:val="22"/>
          <w:szCs w:val="22"/>
        </w:rPr>
        <w:t xml:space="preserve">) </w:t>
      </w:r>
      <w:r w:rsidRPr="00A722BA">
        <w:rPr>
          <w:rStyle w:val="cf01"/>
          <w:rFonts w:asciiTheme="minorHAnsi" w:eastAsia="Calibri" w:hAnsiTheme="minorHAnsi" w:cstheme="minorHAnsi"/>
          <w:sz w:val="22"/>
          <w:szCs w:val="22"/>
        </w:rPr>
        <w:t>that they might be disrupted or inconvenienced by the de-chartering?</w:t>
      </w:r>
    </w:p>
    <w:p w14:paraId="1CA464A5" w14:textId="77777777" w:rsidR="00F530CB" w:rsidRDefault="00F530CB" w:rsidP="00C75C38">
      <w:pPr>
        <w:pStyle w:val="ListParagraph"/>
        <w:numPr>
          <w:ilvl w:val="1"/>
          <w:numId w:val="25"/>
        </w:numPr>
        <w:spacing w:line="240" w:lineRule="auto"/>
        <w:jc w:val="both"/>
      </w:pPr>
      <w:r>
        <w:t>If so, please describe.</w:t>
      </w:r>
    </w:p>
    <w:p w14:paraId="298A273D" w14:textId="77777777" w:rsidR="00E671FF" w:rsidRDefault="00E671FF" w:rsidP="00602443">
      <w:pPr>
        <w:pStyle w:val="ListParagraph"/>
        <w:spacing w:after="0" w:line="240" w:lineRule="auto"/>
        <w:ind w:left="1440"/>
        <w:jc w:val="both"/>
        <w:sectPr w:rsidR="00E671FF">
          <w:pgSz w:w="12240" w:h="15840"/>
          <w:pgMar w:top="1440" w:right="1440" w:bottom="1440" w:left="1440" w:header="720" w:footer="720" w:gutter="0"/>
          <w:cols w:space="720"/>
          <w:docGrid w:linePitch="360"/>
        </w:sectPr>
      </w:pPr>
    </w:p>
    <w:p w14:paraId="69B5C084" w14:textId="77777777" w:rsidR="00F530CB" w:rsidRDefault="00F530CB" w:rsidP="00C75C38">
      <w:pPr>
        <w:pStyle w:val="ListParagraph"/>
        <w:spacing w:after="0" w:line="240" w:lineRule="auto"/>
        <w:ind w:left="1440"/>
        <w:jc w:val="both"/>
      </w:pPr>
    </w:p>
    <w:p w14:paraId="3FDD7233" w14:textId="77777777" w:rsidR="00F530CB" w:rsidRPr="000A1D7A" w:rsidRDefault="00F530CB" w:rsidP="00C75C38">
      <w:pPr>
        <w:spacing w:line="240" w:lineRule="auto"/>
        <w:jc w:val="both"/>
        <w:rPr>
          <w:b/>
          <w:bCs/>
          <w:u w:val="single"/>
        </w:rPr>
      </w:pPr>
      <w:r w:rsidRPr="000A1D7A">
        <w:rPr>
          <w:b/>
          <w:bCs/>
          <w:u w:val="single"/>
        </w:rPr>
        <w:t>TC Assets</w:t>
      </w:r>
    </w:p>
    <w:p w14:paraId="2D72D855" w14:textId="77777777" w:rsidR="00F530CB" w:rsidRDefault="00F530CB" w:rsidP="00C75C38">
      <w:pPr>
        <w:pStyle w:val="ListParagraph"/>
        <w:numPr>
          <w:ilvl w:val="0"/>
          <w:numId w:val="26"/>
        </w:numPr>
        <w:spacing w:line="240" w:lineRule="auto"/>
        <w:jc w:val="both"/>
      </w:pPr>
      <w:r>
        <w:t xml:space="preserve">Does the TC have any funds in a custodial or other account? </w:t>
      </w:r>
    </w:p>
    <w:p w14:paraId="29E20B7F" w14:textId="77777777" w:rsidR="00F530CB" w:rsidRDefault="00F530CB" w:rsidP="00C75C38">
      <w:pPr>
        <w:pStyle w:val="ListParagraph"/>
        <w:spacing w:line="240" w:lineRule="auto"/>
        <w:jc w:val="both"/>
      </w:pPr>
    </w:p>
    <w:p w14:paraId="5FDFE013" w14:textId="77777777" w:rsidR="00F530CB" w:rsidRDefault="00F530CB" w:rsidP="00C75C38">
      <w:pPr>
        <w:pStyle w:val="ListParagraph"/>
        <w:numPr>
          <w:ilvl w:val="1"/>
          <w:numId w:val="26"/>
        </w:numPr>
        <w:spacing w:line="240" w:lineRule="auto"/>
        <w:jc w:val="both"/>
      </w:pPr>
      <w:r>
        <w:t>If yes, what is the amount?</w:t>
      </w:r>
    </w:p>
    <w:p w14:paraId="2AA42A0C" w14:textId="77777777" w:rsidR="00F530CB" w:rsidRDefault="00F530CB" w:rsidP="00C75C38">
      <w:pPr>
        <w:pStyle w:val="ListParagraph"/>
        <w:spacing w:line="240" w:lineRule="auto"/>
        <w:ind w:left="1440"/>
        <w:jc w:val="both"/>
      </w:pPr>
    </w:p>
    <w:p w14:paraId="76EDCC79" w14:textId="77777777" w:rsidR="00F530CB" w:rsidRDefault="00F530CB" w:rsidP="00C75C38">
      <w:pPr>
        <w:pStyle w:val="ListParagraph"/>
        <w:numPr>
          <w:ilvl w:val="0"/>
          <w:numId w:val="26"/>
        </w:numPr>
        <w:spacing w:line="240" w:lineRule="auto"/>
        <w:jc w:val="both"/>
      </w:pPr>
      <w:r>
        <w:t>Does the TC administer any awards?</w:t>
      </w:r>
    </w:p>
    <w:p w14:paraId="1BCA2E0D" w14:textId="77777777" w:rsidR="00F530CB" w:rsidRDefault="00F530CB" w:rsidP="00C75C38">
      <w:pPr>
        <w:pStyle w:val="ListParagraph"/>
        <w:spacing w:line="240" w:lineRule="auto"/>
        <w:jc w:val="both"/>
      </w:pPr>
    </w:p>
    <w:p w14:paraId="3655785F" w14:textId="77777777" w:rsidR="00F530CB" w:rsidRDefault="00F530CB" w:rsidP="00C75C38">
      <w:pPr>
        <w:pStyle w:val="ListParagraph"/>
        <w:numPr>
          <w:ilvl w:val="1"/>
          <w:numId w:val="26"/>
        </w:numPr>
        <w:spacing w:line="240" w:lineRule="auto"/>
        <w:jc w:val="both"/>
      </w:pPr>
      <w:r>
        <w:t>If yes, please list awards.</w:t>
      </w:r>
    </w:p>
    <w:p w14:paraId="07F7B194" w14:textId="77777777" w:rsidR="00F530CB" w:rsidRDefault="00F530CB" w:rsidP="00C75C38">
      <w:pPr>
        <w:pStyle w:val="ListParagraph"/>
        <w:spacing w:line="240" w:lineRule="auto"/>
        <w:jc w:val="both"/>
      </w:pPr>
    </w:p>
    <w:p w14:paraId="44641ECE" w14:textId="77777777" w:rsidR="00F530CB" w:rsidRDefault="00F530CB" w:rsidP="00C75C38">
      <w:pPr>
        <w:pStyle w:val="ListParagraph"/>
        <w:numPr>
          <w:ilvl w:val="0"/>
          <w:numId w:val="27"/>
        </w:numPr>
        <w:spacing w:line="240" w:lineRule="auto"/>
        <w:jc w:val="both"/>
      </w:pPr>
      <w:r>
        <w:t>Does the TC have any other assets (e.g., equipment, brochures, works in progress, etc.)? (If the TC is de-chartered, the TC should provide the Group Director with a recommendation in terms of the distribution of its assets to relevant TC and/or IC.)</w:t>
      </w:r>
    </w:p>
    <w:p w14:paraId="4FFEACD6" w14:textId="77777777" w:rsidR="00F530CB" w:rsidRDefault="00F530CB" w:rsidP="00F530CB">
      <w:pPr>
        <w:pStyle w:val="ListParagraph"/>
        <w:spacing w:line="240" w:lineRule="auto"/>
      </w:pPr>
    </w:p>
    <w:p w14:paraId="78396C13" w14:textId="77777777" w:rsidR="00F530CB" w:rsidRDefault="00F530CB" w:rsidP="00F530CB">
      <w:pPr>
        <w:pStyle w:val="ListParagraph"/>
        <w:numPr>
          <w:ilvl w:val="1"/>
          <w:numId w:val="26"/>
        </w:numPr>
        <w:spacing w:line="240" w:lineRule="auto"/>
      </w:pPr>
      <w:r>
        <w:t>If yes, please describe.</w:t>
      </w:r>
    </w:p>
    <w:p w14:paraId="29F0356B" w14:textId="77777777" w:rsidR="00F530CB" w:rsidRDefault="00F530CB" w:rsidP="00F530CB">
      <w:pPr>
        <w:pStyle w:val="ListParagraph"/>
        <w:spacing w:line="240" w:lineRule="auto"/>
      </w:pPr>
    </w:p>
    <w:tbl>
      <w:tblPr>
        <w:tblStyle w:val="TableGrid"/>
        <w:tblW w:w="0" w:type="auto"/>
        <w:tblLook w:val="04A0" w:firstRow="1" w:lastRow="0" w:firstColumn="1" w:lastColumn="0" w:noHBand="0" w:noVBand="1"/>
      </w:tblPr>
      <w:tblGrid>
        <w:gridCol w:w="2965"/>
        <w:gridCol w:w="1530"/>
        <w:gridCol w:w="2970"/>
        <w:gridCol w:w="1885"/>
      </w:tblGrid>
      <w:tr w:rsidR="00F530CB" w:rsidRPr="00F10E49" w14:paraId="3346FD50" w14:textId="77777777" w:rsidTr="002277BB">
        <w:tc>
          <w:tcPr>
            <w:tcW w:w="2965" w:type="dxa"/>
            <w:shd w:val="clear" w:color="auto" w:fill="D9D9D9" w:themeFill="background1" w:themeFillShade="D9"/>
          </w:tcPr>
          <w:p w14:paraId="7F3E2043" w14:textId="77777777" w:rsidR="00F530CB" w:rsidRPr="00F10E49" w:rsidRDefault="00F530CB" w:rsidP="002277BB">
            <w:pPr>
              <w:jc w:val="center"/>
              <w:rPr>
                <w:b/>
                <w:bCs/>
              </w:rPr>
            </w:pPr>
            <w:r w:rsidRPr="00F10E49">
              <w:rPr>
                <w:b/>
                <w:bCs/>
              </w:rPr>
              <w:t>Submitted by (TC Chair/Representative)</w:t>
            </w:r>
          </w:p>
        </w:tc>
        <w:tc>
          <w:tcPr>
            <w:tcW w:w="1530" w:type="dxa"/>
            <w:shd w:val="clear" w:color="auto" w:fill="D9D9D9" w:themeFill="background1" w:themeFillShade="D9"/>
          </w:tcPr>
          <w:p w14:paraId="0D6894BE" w14:textId="77777777" w:rsidR="00F530CB" w:rsidRPr="00F10E49" w:rsidRDefault="00F530CB" w:rsidP="002277BB">
            <w:pPr>
              <w:jc w:val="center"/>
              <w:rPr>
                <w:b/>
                <w:bCs/>
              </w:rPr>
            </w:pPr>
            <w:r w:rsidRPr="00F10E49">
              <w:rPr>
                <w:b/>
                <w:bCs/>
              </w:rPr>
              <w:t>Date</w:t>
            </w:r>
          </w:p>
        </w:tc>
        <w:tc>
          <w:tcPr>
            <w:tcW w:w="2970" w:type="dxa"/>
            <w:shd w:val="clear" w:color="auto" w:fill="D9D9D9" w:themeFill="background1" w:themeFillShade="D9"/>
          </w:tcPr>
          <w:p w14:paraId="001EEDCE" w14:textId="77777777" w:rsidR="00F530CB" w:rsidRPr="00F10E49" w:rsidRDefault="00F530CB" w:rsidP="002277BB">
            <w:pPr>
              <w:jc w:val="center"/>
              <w:rPr>
                <w:b/>
                <w:bCs/>
              </w:rPr>
            </w:pPr>
            <w:r w:rsidRPr="00F10E49">
              <w:rPr>
                <w:b/>
                <w:bCs/>
              </w:rPr>
              <w:t>Received by (Group Director)</w:t>
            </w:r>
          </w:p>
        </w:tc>
        <w:tc>
          <w:tcPr>
            <w:tcW w:w="1885" w:type="dxa"/>
            <w:shd w:val="clear" w:color="auto" w:fill="D9D9D9" w:themeFill="background1" w:themeFillShade="D9"/>
          </w:tcPr>
          <w:p w14:paraId="3D95B4D4" w14:textId="77777777" w:rsidR="00F530CB" w:rsidRPr="00F10E49" w:rsidRDefault="00F530CB" w:rsidP="002277BB">
            <w:pPr>
              <w:jc w:val="center"/>
              <w:rPr>
                <w:b/>
                <w:bCs/>
              </w:rPr>
            </w:pPr>
            <w:r w:rsidRPr="00F10E49">
              <w:rPr>
                <w:b/>
                <w:bCs/>
              </w:rPr>
              <w:t>Date</w:t>
            </w:r>
          </w:p>
        </w:tc>
      </w:tr>
      <w:tr w:rsidR="00F530CB" w14:paraId="131E9D86" w14:textId="77777777" w:rsidTr="002277BB">
        <w:tc>
          <w:tcPr>
            <w:tcW w:w="2965" w:type="dxa"/>
          </w:tcPr>
          <w:p w14:paraId="4570B530" w14:textId="77777777" w:rsidR="00F530CB" w:rsidRDefault="00F530CB" w:rsidP="002277BB"/>
        </w:tc>
        <w:tc>
          <w:tcPr>
            <w:tcW w:w="1530" w:type="dxa"/>
          </w:tcPr>
          <w:p w14:paraId="0FE3C516" w14:textId="77777777" w:rsidR="00F530CB" w:rsidRDefault="00F530CB" w:rsidP="002277BB"/>
        </w:tc>
        <w:tc>
          <w:tcPr>
            <w:tcW w:w="2970" w:type="dxa"/>
          </w:tcPr>
          <w:p w14:paraId="300C9DE2" w14:textId="77777777" w:rsidR="00F530CB" w:rsidRDefault="00F530CB" w:rsidP="002277BB"/>
        </w:tc>
        <w:tc>
          <w:tcPr>
            <w:tcW w:w="1885" w:type="dxa"/>
          </w:tcPr>
          <w:p w14:paraId="6F11A61D" w14:textId="77777777" w:rsidR="00F530CB" w:rsidRDefault="00F530CB" w:rsidP="002277BB"/>
        </w:tc>
      </w:tr>
      <w:tr w:rsidR="00F530CB" w14:paraId="1B82F87D" w14:textId="77777777" w:rsidTr="002277BB">
        <w:tc>
          <w:tcPr>
            <w:tcW w:w="2965" w:type="dxa"/>
          </w:tcPr>
          <w:p w14:paraId="188DE23E" w14:textId="77777777" w:rsidR="00F530CB" w:rsidRDefault="00F530CB" w:rsidP="002277BB"/>
        </w:tc>
        <w:tc>
          <w:tcPr>
            <w:tcW w:w="1530" w:type="dxa"/>
          </w:tcPr>
          <w:p w14:paraId="162D1FB8" w14:textId="77777777" w:rsidR="00F530CB" w:rsidRDefault="00F530CB" w:rsidP="002277BB"/>
        </w:tc>
        <w:tc>
          <w:tcPr>
            <w:tcW w:w="2970" w:type="dxa"/>
          </w:tcPr>
          <w:p w14:paraId="5C269C5A" w14:textId="77777777" w:rsidR="00F530CB" w:rsidRDefault="00F530CB" w:rsidP="002277BB"/>
        </w:tc>
        <w:tc>
          <w:tcPr>
            <w:tcW w:w="1885" w:type="dxa"/>
          </w:tcPr>
          <w:p w14:paraId="5048FF9D" w14:textId="77777777" w:rsidR="00F530CB" w:rsidRDefault="00F530CB" w:rsidP="002277BB"/>
        </w:tc>
      </w:tr>
    </w:tbl>
    <w:p w14:paraId="0A838DB5" w14:textId="77777777" w:rsidR="00F530CB" w:rsidRDefault="00F530CB" w:rsidP="00F530CB">
      <w:pPr>
        <w:spacing w:line="240" w:lineRule="auto"/>
      </w:pPr>
    </w:p>
    <w:p w14:paraId="73E0185D" w14:textId="77777777" w:rsidR="00F530CB" w:rsidRDefault="00F530CB" w:rsidP="00F530CB">
      <w:pPr>
        <w:spacing w:line="240" w:lineRule="auto"/>
      </w:pPr>
    </w:p>
    <w:p w14:paraId="3815A9FA" w14:textId="77777777" w:rsidR="00F530CB" w:rsidRPr="001258E3" w:rsidRDefault="00F530CB" w:rsidP="00B10AAF"/>
    <w:p w14:paraId="6619BA5F" w14:textId="77777777" w:rsidR="00410229" w:rsidRDefault="00410229" w:rsidP="00410229"/>
    <w:p w14:paraId="586D9E05" w14:textId="77777777" w:rsidR="00410229" w:rsidRPr="00410229" w:rsidRDefault="00410229" w:rsidP="00B10AAF"/>
    <w:p w14:paraId="52501A88" w14:textId="77777777" w:rsidR="000D66C3" w:rsidRDefault="000D66C3" w:rsidP="004A3D20">
      <w:pPr>
        <w:pStyle w:val="ListParagraph"/>
        <w:ind w:left="0"/>
        <w:rPr>
          <w:rFonts w:ascii="Cambria" w:hAnsi="Cambria"/>
          <w:sz w:val="24"/>
          <w:szCs w:val="24"/>
        </w:rPr>
      </w:pPr>
    </w:p>
    <w:p w14:paraId="4C61652D" w14:textId="77777777" w:rsidR="00D83159" w:rsidRPr="00D83159" w:rsidRDefault="00D83159" w:rsidP="00D83159"/>
    <w:p w14:paraId="480F985C" w14:textId="77777777" w:rsidR="00E9320D" w:rsidRPr="00E9320D" w:rsidRDefault="00E9320D" w:rsidP="00E9320D"/>
    <w:p w14:paraId="4AB5608A" w14:textId="77777777" w:rsidR="00A66210" w:rsidRPr="00A66210" w:rsidRDefault="00A66210" w:rsidP="00A66210"/>
    <w:p w14:paraId="589DAB7E" w14:textId="77777777" w:rsidR="004F7D5E" w:rsidRDefault="004F7D5E" w:rsidP="004F7D5E"/>
    <w:p w14:paraId="55D85BEE" w14:textId="77777777" w:rsidR="00C70F47" w:rsidRPr="004F7D5E" w:rsidRDefault="00C70F47" w:rsidP="004F7D5E"/>
    <w:p w14:paraId="571C8583" w14:textId="77777777" w:rsidR="002F63D9" w:rsidRPr="009A5BCB" w:rsidRDefault="002F63D9" w:rsidP="002F63D9"/>
    <w:p w14:paraId="18EB7EED" w14:textId="77777777" w:rsidR="00603BEE" w:rsidRPr="00603BEE" w:rsidRDefault="00603BEE" w:rsidP="00603BEE"/>
    <w:p w14:paraId="6215728C" w14:textId="77777777" w:rsidR="00606130" w:rsidRPr="00606130" w:rsidRDefault="00606130" w:rsidP="00606130"/>
    <w:sectPr w:rsidR="00606130" w:rsidRPr="006061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A826" w14:textId="77777777" w:rsidR="001C6CF1" w:rsidRDefault="001C6CF1" w:rsidP="008C686A">
      <w:pPr>
        <w:spacing w:after="0" w:line="240" w:lineRule="auto"/>
      </w:pPr>
      <w:r>
        <w:separator/>
      </w:r>
    </w:p>
  </w:endnote>
  <w:endnote w:type="continuationSeparator" w:id="0">
    <w:p w14:paraId="5FD69130" w14:textId="77777777" w:rsidR="001C6CF1" w:rsidRDefault="001C6CF1" w:rsidP="008C6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enorite">
    <w:panose1 w:val="00000500000000000000"/>
    <w:charset w:val="00"/>
    <w:family w:val="auto"/>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7A636" w14:textId="77777777" w:rsidR="001C6CF1" w:rsidRDefault="001C6CF1" w:rsidP="008C686A">
      <w:pPr>
        <w:spacing w:after="0" w:line="240" w:lineRule="auto"/>
      </w:pPr>
      <w:r>
        <w:separator/>
      </w:r>
    </w:p>
  </w:footnote>
  <w:footnote w:type="continuationSeparator" w:id="0">
    <w:p w14:paraId="747435D1" w14:textId="77777777" w:rsidR="001C6CF1" w:rsidRDefault="001C6CF1" w:rsidP="008C686A">
      <w:pPr>
        <w:spacing w:after="0" w:line="240" w:lineRule="auto"/>
      </w:pPr>
      <w:r>
        <w:continuationSeparator/>
      </w:r>
    </w:p>
  </w:footnote>
  <w:footnote w:id="1">
    <w:p w14:paraId="19A071C1" w14:textId="6170DA7C" w:rsidR="002D6BFB" w:rsidRDefault="002D6BFB">
      <w:pPr>
        <w:pStyle w:val="FootnoteText"/>
      </w:pPr>
      <w:r>
        <w:rPr>
          <w:rStyle w:val="FootnoteReference"/>
        </w:rPr>
        <w:footnoteRef/>
      </w:r>
      <w:r>
        <w:t xml:space="preserve"> </w:t>
      </w:r>
      <w:r w:rsidR="00890DF6">
        <w:t>Membership in “g</w:t>
      </w:r>
      <w:r>
        <w:t>ood standing</w:t>
      </w:r>
      <w:r w:rsidR="00890DF6">
        <w:t xml:space="preserve">” means a member </w:t>
      </w:r>
      <w:r w:rsidR="005124BC">
        <w:t>is current on dues to the Institute and is compliant with the AIAA Code of Ethics</w:t>
      </w:r>
      <w:r w:rsidR="00890DF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5421" w14:textId="53A19DB8" w:rsidR="008C686A" w:rsidRDefault="00602443" w:rsidP="00602443">
    <w:pPr>
      <w:pStyle w:val="Header"/>
    </w:pPr>
    <w:r>
      <w:rPr>
        <w:b/>
        <w:i/>
        <w:noProof/>
        <w:color w:val="00487E"/>
        <w:sz w:val="32"/>
        <w:szCs w:val="32"/>
      </w:rPr>
      <w:drawing>
        <wp:inline distT="0" distB="0" distL="0" distR="0" wp14:anchorId="27F11710" wp14:editId="670E8CB6">
          <wp:extent cx="1828800" cy="508195"/>
          <wp:effectExtent l="0" t="0" r="0" b="0"/>
          <wp:docPr id="20795114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511401" name="Picture 2079511401"/>
                  <pic:cNvPicPr/>
                </pic:nvPicPr>
                <pic:blipFill>
                  <a:blip r:embed="rId1"/>
                  <a:stretch>
                    <a:fillRect/>
                  </a:stretch>
                </pic:blipFill>
                <pic:spPr>
                  <a:xfrm>
                    <a:off x="0" y="0"/>
                    <a:ext cx="1911514" cy="531180"/>
                  </a:xfrm>
                  <a:prstGeom prst="rect">
                    <a:avLst/>
                  </a:prstGeom>
                </pic:spPr>
              </pic:pic>
            </a:graphicData>
          </a:graphic>
        </wp:inline>
      </w:drawing>
    </w:r>
    <w:r>
      <w:tab/>
    </w:r>
    <w:r>
      <w:tab/>
    </w:r>
    <w:r w:rsidRPr="005E2AFA">
      <w:rPr>
        <w:rFonts w:ascii="Tenorite" w:hAnsi="Tenorite"/>
        <w:b/>
        <w:i/>
        <w:color w:val="00487E"/>
        <w:sz w:val="32"/>
        <w:szCs w:val="32"/>
      </w:rPr>
      <w:t>Technical Activities Division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2E1E"/>
    <w:multiLevelType w:val="hybridMultilevel"/>
    <w:tmpl w:val="D09A3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C1ACB"/>
    <w:multiLevelType w:val="hybridMultilevel"/>
    <w:tmpl w:val="4D66A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20F05"/>
    <w:multiLevelType w:val="hybridMultilevel"/>
    <w:tmpl w:val="A7CCE38C"/>
    <w:lvl w:ilvl="0" w:tplc="09B25412">
      <w:start w:val="1"/>
      <w:numFmt w:val="bullet"/>
      <w:lvlText w:val=""/>
      <w:lvlJc w:val="left"/>
      <w:pPr>
        <w:tabs>
          <w:tab w:val="num" w:pos="720"/>
        </w:tabs>
        <w:ind w:left="720" w:hanging="360"/>
      </w:pPr>
      <w:rPr>
        <w:rFonts w:ascii="Wingdings" w:hAnsi="Wingdings" w:hint="default"/>
      </w:rPr>
    </w:lvl>
    <w:lvl w:ilvl="1" w:tplc="CF94F81E">
      <w:numFmt w:val="bullet"/>
      <w:lvlText w:val=""/>
      <w:lvlJc w:val="left"/>
      <w:pPr>
        <w:tabs>
          <w:tab w:val="num" w:pos="1440"/>
        </w:tabs>
        <w:ind w:left="1440" w:hanging="360"/>
      </w:pPr>
      <w:rPr>
        <w:rFonts w:ascii="Wingdings" w:hAnsi="Wingdings" w:hint="default"/>
      </w:rPr>
    </w:lvl>
    <w:lvl w:ilvl="2" w:tplc="1D34A64A" w:tentative="1">
      <w:start w:val="1"/>
      <w:numFmt w:val="bullet"/>
      <w:lvlText w:val=""/>
      <w:lvlJc w:val="left"/>
      <w:pPr>
        <w:tabs>
          <w:tab w:val="num" w:pos="2160"/>
        </w:tabs>
        <w:ind w:left="2160" w:hanging="360"/>
      </w:pPr>
      <w:rPr>
        <w:rFonts w:ascii="Wingdings" w:hAnsi="Wingdings" w:hint="default"/>
      </w:rPr>
    </w:lvl>
    <w:lvl w:ilvl="3" w:tplc="FD6E021C" w:tentative="1">
      <w:start w:val="1"/>
      <w:numFmt w:val="bullet"/>
      <w:lvlText w:val=""/>
      <w:lvlJc w:val="left"/>
      <w:pPr>
        <w:tabs>
          <w:tab w:val="num" w:pos="2880"/>
        </w:tabs>
        <w:ind w:left="2880" w:hanging="360"/>
      </w:pPr>
      <w:rPr>
        <w:rFonts w:ascii="Wingdings" w:hAnsi="Wingdings" w:hint="default"/>
      </w:rPr>
    </w:lvl>
    <w:lvl w:ilvl="4" w:tplc="2DFED6B4" w:tentative="1">
      <w:start w:val="1"/>
      <w:numFmt w:val="bullet"/>
      <w:lvlText w:val=""/>
      <w:lvlJc w:val="left"/>
      <w:pPr>
        <w:tabs>
          <w:tab w:val="num" w:pos="3600"/>
        </w:tabs>
        <w:ind w:left="3600" w:hanging="360"/>
      </w:pPr>
      <w:rPr>
        <w:rFonts w:ascii="Wingdings" w:hAnsi="Wingdings" w:hint="default"/>
      </w:rPr>
    </w:lvl>
    <w:lvl w:ilvl="5" w:tplc="43D0E614" w:tentative="1">
      <w:start w:val="1"/>
      <w:numFmt w:val="bullet"/>
      <w:lvlText w:val=""/>
      <w:lvlJc w:val="left"/>
      <w:pPr>
        <w:tabs>
          <w:tab w:val="num" w:pos="4320"/>
        </w:tabs>
        <w:ind w:left="4320" w:hanging="360"/>
      </w:pPr>
      <w:rPr>
        <w:rFonts w:ascii="Wingdings" w:hAnsi="Wingdings" w:hint="default"/>
      </w:rPr>
    </w:lvl>
    <w:lvl w:ilvl="6" w:tplc="53BCBB9A" w:tentative="1">
      <w:start w:val="1"/>
      <w:numFmt w:val="bullet"/>
      <w:lvlText w:val=""/>
      <w:lvlJc w:val="left"/>
      <w:pPr>
        <w:tabs>
          <w:tab w:val="num" w:pos="5040"/>
        </w:tabs>
        <w:ind w:left="5040" w:hanging="360"/>
      </w:pPr>
      <w:rPr>
        <w:rFonts w:ascii="Wingdings" w:hAnsi="Wingdings" w:hint="default"/>
      </w:rPr>
    </w:lvl>
    <w:lvl w:ilvl="7" w:tplc="8148162E" w:tentative="1">
      <w:start w:val="1"/>
      <w:numFmt w:val="bullet"/>
      <w:lvlText w:val=""/>
      <w:lvlJc w:val="left"/>
      <w:pPr>
        <w:tabs>
          <w:tab w:val="num" w:pos="5760"/>
        </w:tabs>
        <w:ind w:left="5760" w:hanging="360"/>
      </w:pPr>
      <w:rPr>
        <w:rFonts w:ascii="Wingdings" w:hAnsi="Wingdings" w:hint="default"/>
      </w:rPr>
    </w:lvl>
    <w:lvl w:ilvl="8" w:tplc="37DA2DD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319B5"/>
    <w:multiLevelType w:val="hybridMultilevel"/>
    <w:tmpl w:val="CE4E0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C0858"/>
    <w:multiLevelType w:val="hybridMultilevel"/>
    <w:tmpl w:val="34B68BBC"/>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911C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91B1954"/>
    <w:multiLevelType w:val="hybridMultilevel"/>
    <w:tmpl w:val="CE3EA680"/>
    <w:lvl w:ilvl="0" w:tplc="F518458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E14595"/>
    <w:multiLevelType w:val="multilevel"/>
    <w:tmpl w:val="6900AD38"/>
    <w:lvl w:ilvl="0">
      <w:start w:val="1"/>
      <w:numFmt w:val="upperRoman"/>
      <w:lvlText w:val="%1."/>
      <w:lvlJc w:val="left"/>
      <w:pPr>
        <w:ind w:left="0" w:firstLine="0"/>
      </w:pPr>
      <w:rPr>
        <w:rFonts w:hint="default"/>
      </w:rPr>
    </w:lvl>
    <w:lvl w:ilvl="1">
      <w:start w:val="4"/>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15:restartNumberingAfterBreak="0">
    <w:nsid w:val="2E4E160E"/>
    <w:multiLevelType w:val="hybridMultilevel"/>
    <w:tmpl w:val="7990F0B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827BFA"/>
    <w:multiLevelType w:val="hybridMultilevel"/>
    <w:tmpl w:val="D7A0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9357D"/>
    <w:multiLevelType w:val="multilevel"/>
    <w:tmpl w:val="908CE4E6"/>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39385F43"/>
    <w:multiLevelType w:val="multilevel"/>
    <w:tmpl w:val="0E088794"/>
    <w:lvl w:ilvl="0">
      <w:start w:val="1"/>
      <w:numFmt w:val="upperRoman"/>
      <w:lvlText w:val="%1."/>
      <w:lvlJc w:val="left"/>
      <w:pPr>
        <w:ind w:left="0" w:firstLine="0"/>
      </w:pPr>
      <w:rPr>
        <w:rFonts w:hint="default"/>
      </w:rPr>
    </w:lvl>
    <w:lvl w:ilvl="1">
      <w:start w:val="3"/>
      <w:numFmt w:val="upperLetter"/>
      <w:lvlText w:val="%2."/>
      <w:lvlJc w:val="left"/>
      <w:pPr>
        <w:ind w:left="720" w:firstLine="0"/>
      </w:pPr>
      <w:rPr>
        <w:rFonts w:hint="default"/>
      </w:rPr>
    </w:lvl>
    <w:lvl w:ilvl="2">
      <w:start w:val="3"/>
      <w:numFmt w:val="decimal"/>
      <w:lvlText w:val="%3."/>
      <w:lvlJc w:val="left"/>
      <w:pPr>
        <w:ind w:left="1440" w:firstLine="0"/>
      </w:pPr>
      <w:rPr>
        <w:rFonts w:hint="default"/>
      </w:rPr>
    </w:lvl>
    <w:lvl w:ilvl="3">
      <w:start w:val="6"/>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44280560"/>
    <w:multiLevelType w:val="hybridMultilevel"/>
    <w:tmpl w:val="A28E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25C2A"/>
    <w:multiLevelType w:val="hybridMultilevel"/>
    <w:tmpl w:val="65C0D364"/>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EC5B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6706B1"/>
    <w:multiLevelType w:val="hybridMultilevel"/>
    <w:tmpl w:val="BD3A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F73C7"/>
    <w:multiLevelType w:val="hybridMultilevel"/>
    <w:tmpl w:val="E562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75304"/>
    <w:multiLevelType w:val="multilevel"/>
    <w:tmpl w:val="24729FC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54BB4B71"/>
    <w:multiLevelType w:val="hybridMultilevel"/>
    <w:tmpl w:val="D604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71375C"/>
    <w:multiLevelType w:val="hybridMultilevel"/>
    <w:tmpl w:val="E3A48BAC"/>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0F">
      <w:start w:val="1"/>
      <w:numFmt w:val="decimal"/>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8E7F26"/>
    <w:multiLevelType w:val="hybridMultilevel"/>
    <w:tmpl w:val="5A2A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B17B0B"/>
    <w:multiLevelType w:val="hybridMultilevel"/>
    <w:tmpl w:val="74A0880C"/>
    <w:lvl w:ilvl="0" w:tplc="B350A92C">
      <w:start w:val="1"/>
      <w:numFmt w:val="bullet"/>
      <w:lvlText w:val=""/>
      <w:lvlJc w:val="left"/>
      <w:pPr>
        <w:tabs>
          <w:tab w:val="num" w:pos="720"/>
        </w:tabs>
        <w:ind w:left="720" w:hanging="360"/>
      </w:pPr>
      <w:rPr>
        <w:rFonts w:ascii="Wingdings" w:hAnsi="Wingdings" w:hint="default"/>
      </w:rPr>
    </w:lvl>
    <w:lvl w:ilvl="1" w:tplc="7316A96A">
      <w:start w:val="1"/>
      <w:numFmt w:val="bullet"/>
      <w:lvlText w:val=""/>
      <w:lvlJc w:val="left"/>
      <w:pPr>
        <w:tabs>
          <w:tab w:val="num" w:pos="1440"/>
        </w:tabs>
        <w:ind w:left="1440" w:hanging="360"/>
      </w:pPr>
      <w:rPr>
        <w:rFonts w:ascii="Wingdings" w:hAnsi="Wingdings" w:hint="default"/>
      </w:rPr>
    </w:lvl>
    <w:lvl w:ilvl="2" w:tplc="EE2CCCF8" w:tentative="1">
      <w:start w:val="1"/>
      <w:numFmt w:val="bullet"/>
      <w:lvlText w:val=""/>
      <w:lvlJc w:val="left"/>
      <w:pPr>
        <w:tabs>
          <w:tab w:val="num" w:pos="2160"/>
        </w:tabs>
        <w:ind w:left="2160" w:hanging="360"/>
      </w:pPr>
      <w:rPr>
        <w:rFonts w:ascii="Wingdings" w:hAnsi="Wingdings" w:hint="default"/>
      </w:rPr>
    </w:lvl>
    <w:lvl w:ilvl="3" w:tplc="F0A69938" w:tentative="1">
      <w:start w:val="1"/>
      <w:numFmt w:val="bullet"/>
      <w:lvlText w:val=""/>
      <w:lvlJc w:val="left"/>
      <w:pPr>
        <w:tabs>
          <w:tab w:val="num" w:pos="2880"/>
        </w:tabs>
        <w:ind w:left="2880" w:hanging="360"/>
      </w:pPr>
      <w:rPr>
        <w:rFonts w:ascii="Wingdings" w:hAnsi="Wingdings" w:hint="default"/>
      </w:rPr>
    </w:lvl>
    <w:lvl w:ilvl="4" w:tplc="6DDE6304" w:tentative="1">
      <w:start w:val="1"/>
      <w:numFmt w:val="bullet"/>
      <w:lvlText w:val=""/>
      <w:lvlJc w:val="left"/>
      <w:pPr>
        <w:tabs>
          <w:tab w:val="num" w:pos="3600"/>
        </w:tabs>
        <w:ind w:left="3600" w:hanging="360"/>
      </w:pPr>
      <w:rPr>
        <w:rFonts w:ascii="Wingdings" w:hAnsi="Wingdings" w:hint="default"/>
      </w:rPr>
    </w:lvl>
    <w:lvl w:ilvl="5" w:tplc="F6A8441A" w:tentative="1">
      <w:start w:val="1"/>
      <w:numFmt w:val="bullet"/>
      <w:lvlText w:val=""/>
      <w:lvlJc w:val="left"/>
      <w:pPr>
        <w:tabs>
          <w:tab w:val="num" w:pos="4320"/>
        </w:tabs>
        <w:ind w:left="4320" w:hanging="360"/>
      </w:pPr>
      <w:rPr>
        <w:rFonts w:ascii="Wingdings" w:hAnsi="Wingdings" w:hint="default"/>
      </w:rPr>
    </w:lvl>
    <w:lvl w:ilvl="6" w:tplc="19760C5A" w:tentative="1">
      <w:start w:val="1"/>
      <w:numFmt w:val="bullet"/>
      <w:lvlText w:val=""/>
      <w:lvlJc w:val="left"/>
      <w:pPr>
        <w:tabs>
          <w:tab w:val="num" w:pos="5040"/>
        </w:tabs>
        <w:ind w:left="5040" w:hanging="360"/>
      </w:pPr>
      <w:rPr>
        <w:rFonts w:ascii="Wingdings" w:hAnsi="Wingdings" w:hint="default"/>
      </w:rPr>
    </w:lvl>
    <w:lvl w:ilvl="7" w:tplc="39921984" w:tentative="1">
      <w:start w:val="1"/>
      <w:numFmt w:val="bullet"/>
      <w:lvlText w:val=""/>
      <w:lvlJc w:val="left"/>
      <w:pPr>
        <w:tabs>
          <w:tab w:val="num" w:pos="5760"/>
        </w:tabs>
        <w:ind w:left="5760" w:hanging="360"/>
      </w:pPr>
      <w:rPr>
        <w:rFonts w:ascii="Wingdings" w:hAnsi="Wingdings" w:hint="default"/>
      </w:rPr>
    </w:lvl>
    <w:lvl w:ilvl="8" w:tplc="504491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B209F4"/>
    <w:multiLevelType w:val="hybridMultilevel"/>
    <w:tmpl w:val="30F49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393A6C"/>
    <w:multiLevelType w:val="hybridMultilevel"/>
    <w:tmpl w:val="E3C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6049D"/>
    <w:multiLevelType w:val="multilevel"/>
    <w:tmpl w:val="24C27910"/>
    <w:lvl w:ilvl="0">
      <w:start w:val="1"/>
      <w:numFmt w:val="upperRoman"/>
      <w:lvlText w:val="%1."/>
      <w:lvlJc w:val="righ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661614B6"/>
    <w:multiLevelType w:val="hybridMultilevel"/>
    <w:tmpl w:val="75EEC08A"/>
    <w:lvl w:ilvl="0" w:tplc="F5184586">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02F4A"/>
    <w:multiLevelType w:val="hybridMultilevel"/>
    <w:tmpl w:val="A49C6E4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C7508E5"/>
    <w:multiLevelType w:val="hybridMultilevel"/>
    <w:tmpl w:val="F9362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57CD6"/>
    <w:multiLevelType w:val="hybridMultilevel"/>
    <w:tmpl w:val="FE5E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06C10"/>
    <w:multiLevelType w:val="hybridMultilevel"/>
    <w:tmpl w:val="0330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B14B1"/>
    <w:multiLevelType w:val="hybridMultilevel"/>
    <w:tmpl w:val="C6A0796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47210949">
    <w:abstractNumId w:val="14"/>
  </w:num>
  <w:num w:numId="2" w16cid:durableId="554437563">
    <w:abstractNumId w:val="5"/>
  </w:num>
  <w:num w:numId="3" w16cid:durableId="1865094364">
    <w:abstractNumId w:val="19"/>
  </w:num>
  <w:num w:numId="4" w16cid:durableId="1334451475">
    <w:abstractNumId w:val="13"/>
  </w:num>
  <w:num w:numId="5" w16cid:durableId="1126503566">
    <w:abstractNumId w:val="30"/>
  </w:num>
  <w:num w:numId="6" w16cid:durableId="161241747">
    <w:abstractNumId w:val="8"/>
  </w:num>
  <w:num w:numId="7" w16cid:durableId="1542017856">
    <w:abstractNumId w:val="17"/>
  </w:num>
  <w:num w:numId="8" w16cid:durableId="1931548379">
    <w:abstractNumId w:val="1"/>
  </w:num>
  <w:num w:numId="9" w16cid:durableId="276645331">
    <w:abstractNumId w:val="27"/>
  </w:num>
  <w:num w:numId="10" w16cid:durableId="1096056637">
    <w:abstractNumId w:val="21"/>
  </w:num>
  <w:num w:numId="11" w16cid:durableId="149297542">
    <w:abstractNumId w:val="23"/>
  </w:num>
  <w:num w:numId="12" w16cid:durableId="1027486074">
    <w:abstractNumId w:val="12"/>
  </w:num>
  <w:num w:numId="13" w16cid:durableId="571046415">
    <w:abstractNumId w:val="28"/>
  </w:num>
  <w:num w:numId="14" w16cid:durableId="1414009216">
    <w:abstractNumId w:val="4"/>
  </w:num>
  <w:num w:numId="15" w16cid:durableId="156775216">
    <w:abstractNumId w:val="29"/>
  </w:num>
  <w:num w:numId="16" w16cid:durableId="776414620">
    <w:abstractNumId w:val="11"/>
  </w:num>
  <w:num w:numId="17" w16cid:durableId="1644311526">
    <w:abstractNumId w:val="16"/>
  </w:num>
  <w:num w:numId="18" w16cid:durableId="715589107">
    <w:abstractNumId w:val="7"/>
  </w:num>
  <w:num w:numId="19" w16cid:durableId="904603578">
    <w:abstractNumId w:val="10"/>
  </w:num>
  <w:num w:numId="20" w16cid:durableId="1910532544">
    <w:abstractNumId w:val="9"/>
  </w:num>
  <w:num w:numId="21" w16cid:durableId="668754412">
    <w:abstractNumId w:val="26"/>
  </w:num>
  <w:num w:numId="22" w16cid:durableId="707490919">
    <w:abstractNumId w:val="18"/>
  </w:num>
  <w:num w:numId="23" w16cid:durableId="1399474612">
    <w:abstractNumId w:val="2"/>
  </w:num>
  <w:num w:numId="24" w16cid:durableId="4402111">
    <w:abstractNumId w:val="0"/>
  </w:num>
  <w:num w:numId="25" w16cid:durableId="2086343322">
    <w:abstractNumId w:val="15"/>
  </w:num>
  <w:num w:numId="26" w16cid:durableId="880365153">
    <w:abstractNumId w:val="3"/>
  </w:num>
  <w:num w:numId="27" w16cid:durableId="1050499350">
    <w:abstractNumId w:val="20"/>
  </w:num>
  <w:num w:numId="28" w16cid:durableId="1644919825">
    <w:abstractNumId w:val="22"/>
  </w:num>
  <w:num w:numId="29" w16cid:durableId="310329028">
    <w:abstractNumId w:val="24"/>
  </w:num>
  <w:num w:numId="30" w16cid:durableId="298808710">
    <w:abstractNumId w:val="25"/>
  </w:num>
  <w:num w:numId="31" w16cid:durableId="1866211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30"/>
    <w:rsid w:val="00004E9B"/>
    <w:rsid w:val="00015958"/>
    <w:rsid w:val="00060469"/>
    <w:rsid w:val="00077F96"/>
    <w:rsid w:val="00086B28"/>
    <w:rsid w:val="00090111"/>
    <w:rsid w:val="000A1F02"/>
    <w:rsid w:val="000B4408"/>
    <w:rsid w:val="000C1993"/>
    <w:rsid w:val="000D1D78"/>
    <w:rsid w:val="000D66C3"/>
    <w:rsid w:val="000E3A6B"/>
    <w:rsid w:val="001009E6"/>
    <w:rsid w:val="0010191B"/>
    <w:rsid w:val="001118E2"/>
    <w:rsid w:val="0012242C"/>
    <w:rsid w:val="001258E3"/>
    <w:rsid w:val="00127DDD"/>
    <w:rsid w:val="00147EF7"/>
    <w:rsid w:val="0016328B"/>
    <w:rsid w:val="00165E6A"/>
    <w:rsid w:val="00170BC5"/>
    <w:rsid w:val="001834CC"/>
    <w:rsid w:val="00187F7E"/>
    <w:rsid w:val="00194417"/>
    <w:rsid w:val="00195C62"/>
    <w:rsid w:val="00196D2B"/>
    <w:rsid w:val="001B4355"/>
    <w:rsid w:val="001C6CF1"/>
    <w:rsid w:val="001F1250"/>
    <w:rsid w:val="001F7C83"/>
    <w:rsid w:val="00204CAF"/>
    <w:rsid w:val="002166D1"/>
    <w:rsid w:val="0022050D"/>
    <w:rsid w:val="00233F7B"/>
    <w:rsid w:val="00250DA4"/>
    <w:rsid w:val="0025353F"/>
    <w:rsid w:val="00257A87"/>
    <w:rsid w:val="00266AF1"/>
    <w:rsid w:val="002814ED"/>
    <w:rsid w:val="002839B3"/>
    <w:rsid w:val="002907FC"/>
    <w:rsid w:val="00294D6E"/>
    <w:rsid w:val="002B1953"/>
    <w:rsid w:val="002B46D1"/>
    <w:rsid w:val="002C1F0E"/>
    <w:rsid w:val="002D1BEE"/>
    <w:rsid w:val="002D6BFB"/>
    <w:rsid w:val="002E4E6C"/>
    <w:rsid w:val="002F0E9E"/>
    <w:rsid w:val="002F63D9"/>
    <w:rsid w:val="0030398B"/>
    <w:rsid w:val="00307972"/>
    <w:rsid w:val="00314693"/>
    <w:rsid w:val="00325A5B"/>
    <w:rsid w:val="003340C5"/>
    <w:rsid w:val="003366C9"/>
    <w:rsid w:val="00353DE3"/>
    <w:rsid w:val="00355C32"/>
    <w:rsid w:val="00357AC7"/>
    <w:rsid w:val="00360072"/>
    <w:rsid w:val="00362073"/>
    <w:rsid w:val="00367A36"/>
    <w:rsid w:val="003719B3"/>
    <w:rsid w:val="00376ADF"/>
    <w:rsid w:val="00390CA9"/>
    <w:rsid w:val="00391A64"/>
    <w:rsid w:val="003A3F1C"/>
    <w:rsid w:val="003A7105"/>
    <w:rsid w:val="003C3686"/>
    <w:rsid w:val="003E2854"/>
    <w:rsid w:val="003E2E10"/>
    <w:rsid w:val="003E3836"/>
    <w:rsid w:val="003F70E0"/>
    <w:rsid w:val="00404B81"/>
    <w:rsid w:val="00410229"/>
    <w:rsid w:val="004174CA"/>
    <w:rsid w:val="004252B7"/>
    <w:rsid w:val="00452F14"/>
    <w:rsid w:val="004562D4"/>
    <w:rsid w:val="00461442"/>
    <w:rsid w:val="00472065"/>
    <w:rsid w:val="00473E9F"/>
    <w:rsid w:val="00482B79"/>
    <w:rsid w:val="004A2ADF"/>
    <w:rsid w:val="004A3D20"/>
    <w:rsid w:val="004B4474"/>
    <w:rsid w:val="004C0C23"/>
    <w:rsid w:val="004C2C9A"/>
    <w:rsid w:val="004C2DF7"/>
    <w:rsid w:val="004E0D18"/>
    <w:rsid w:val="004F712C"/>
    <w:rsid w:val="004F7D5E"/>
    <w:rsid w:val="00502F35"/>
    <w:rsid w:val="00503D2C"/>
    <w:rsid w:val="00506C81"/>
    <w:rsid w:val="005124BC"/>
    <w:rsid w:val="005146C5"/>
    <w:rsid w:val="005453B6"/>
    <w:rsid w:val="00546908"/>
    <w:rsid w:val="0055121D"/>
    <w:rsid w:val="005539F9"/>
    <w:rsid w:val="005654C0"/>
    <w:rsid w:val="00582E67"/>
    <w:rsid w:val="00593877"/>
    <w:rsid w:val="005B1FD5"/>
    <w:rsid w:val="005D1CEA"/>
    <w:rsid w:val="005D7C90"/>
    <w:rsid w:val="005E58EE"/>
    <w:rsid w:val="005E7300"/>
    <w:rsid w:val="005F0052"/>
    <w:rsid w:val="00602443"/>
    <w:rsid w:val="00603BEE"/>
    <w:rsid w:val="00606130"/>
    <w:rsid w:val="00620020"/>
    <w:rsid w:val="00650ADF"/>
    <w:rsid w:val="00670846"/>
    <w:rsid w:val="00681881"/>
    <w:rsid w:val="00692BAE"/>
    <w:rsid w:val="00696263"/>
    <w:rsid w:val="006B0425"/>
    <w:rsid w:val="006B6113"/>
    <w:rsid w:val="006D31DB"/>
    <w:rsid w:val="006D435B"/>
    <w:rsid w:val="006E0F52"/>
    <w:rsid w:val="006E1F49"/>
    <w:rsid w:val="006E57FF"/>
    <w:rsid w:val="006E7203"/>
    <w:rsid w:val="007015DD"/>
    <w:rsid w:val="0070189D"/>
    <w:rsid w:val="00717B75"/>
    <w:rsid w:val="00753C4B"/>
    <w:rsid w:val="0075679A"/>
    <w:rsid w:val="00763F9C"/>
    <w:rsid w:val="0077665F"/>
    <w:rsid w:val="007864E6"/>
    <w:rsid w:val="00786EF9"/>
    <w:rsid w:val="0078757C"/>
    <w:rsid w:val="007B3F42"/>
    <w:rsid w:val="007C25DC"/>
    <w:rsid w:val="007C3F39"/>
    <w:rsid w:val="007D1E2D"/>
    <w:rsid w:val="00805CB4"/>
    <w:rsid w:val="008077F1"/>
    <w:rsid w:val="008118D3"/>
    <w:rsid w:val="0081271F"/>
    <w:rsid w:val="00820F0D"/>
    <w:rsid w:val="00843392"/>
    <w:rsid w:val="00845D21"/>
    <w:rsid w:val="008468D6"/>
    <w:rsid w:val="00850CB7"/>
    <w:rsid w:val="00856312"/>
    <w:rsid w:val="00867054"/>
    <w:rsid w:val="008750A8"/>
    <w:rsid w:val="00890DF6"/>
    <w:rsid w:val="008942A0"/>
    <w:rsid w:val="008A1079"/>
    <w:rsid w:val="008A22DF"/>
    <w:rsid w:val="008B59BA"/>
    <w:rsid w:val="008C6827"/>
    <w:rsid w:val="008C686A"/>
    <w:rsid w:val="008D1BCB"/>
    <w:rsid w:val="008D5C81"/>
    <w:rsid w:val="00904AD6"/>
    <w:rsid w:val="00906262"/>
    <w:rsid w:val="009139DD"/>
    <w:rsid w:val="00924237"/>
    <w:rsid w:val="00940FF5"/>
    <w:rsid w:val="009511ED"/>
    <w:rsid w:val="00960C90"/>
    <w:rsid w:val="00973376"/>
    <w:rsid w:val="00976166"/>
    <w:rsid w:val="00983346"/>
    <w:rsid w:val="009A036F"/>
    <w:rsid w:val="009A488D"/>
    <w:rsid w:val="009A5BCB"/>
    <w:rsid w:val="009A6153"/>
    <w:rsid w:val="009C5472"/>
    <w:rsid w:val="009F3937"/>
    <w:rsid w:val="00A11557"/>
    <w:rsid w:val="00A1730B"/>
    <w:rsid w:val="00A233F3"/>
    <w:rsid w:val="00A43F09"/>
    <w:rsid w:val="00A65518"/>
    <w:rsid w:val="00A66210"/>
    <w:rsid w:val="00A817C6"/>
    <w:rsid w:val="00AA0486"/>
    <w:rsid w:val="00AA10B5"/>
    <w:rsid w:val="00AD0505"/>
    <w:rsid w:val="00AE0336"/>
    <w:rsid w:val="00AE5C75"/>
    <w:rsid w:val="00AE68E1"/>
    <w:rsid w:val="00AF1A1F"/>
    <w:rsid w:val="00AF4220"/>
    <w:rsid w:val="00B10AAF"/>
    <w:rsid w:val="00B10D71"/>
    <w:rsid w:val="00B16C14"/>
    <w:rsid w:val="00B30AD4"/>
    <w:rsid w:val="00B3179D"/>
    <w:rsid w:val="00B42FC2"/>
    <w:rsid w:val="00BA29CC"/>
    <w:rsid w:val="00BC4A72"/>
    <w:rsid w:val="00BC698C"/>
    <w:rsid w:val="00BC7732"/>
    <w:rsid w:val="00BD1CE7"/>
    <w:rsid w:val="00BD6FAB"/>
    <w:rsid w:val="00C369D4"/>
    <w:rsid w:val="00C37182"/>
    <w:rsid w:val="00C546D5"/>
    <w:rsid w:val="00C60D7F"/>
    <w:rsid w:val="00C70F47"/>
    <w:rsid w:val="00C74421"/>
    <w:rsid w:val="00C75C38"/>
    <w:rsid w:val="00C76241"/>
    <w:rsid w:val="00C91696"/>
    <w:rsid w:val="00CA2545"/>
    <w:rsid w:val="00CD7581"/>
    <w:rsid w:val="00CE51FE"/>
    <w:rsid w:val="00CF2765"/>
    <w:rsid w:val="00CF37E6"/>
    <w:rsid w:val="00D022D7"/>
    <w:rsid w:val="00D14A8E"/>
    <w:rsid w:val="00D17FB1"/>
    <w:rsid w:val="00D42545"/>
    <w:rsid w:val="00D47988"/>
    <w:rsid w:val="00D66A6F"/>
    <w:rsid w:val="00D67295"/>
    <w:rsid w:val="00D758E3"/>
    <w:rsid w:val="00D76AD5"/>
    <w:rsid w:val="00D83159"/>
    <w:rsid w:val="00D9105D"/>
    <w:rsid w:val="00DB6EAF"/>
    <w:rsid w:val="00DC38B5"/>
    <w:rsid w:val="00DC5C41"/>
    <w:rsid w:val="00DC5FFE"/>
    <w:rsid w:val="00E16B74"/>
    <w:rsid w:val="00E2632B"/>
    <w:rsid w:val="00E443F3"/>
    <w:rsid w:val="00E616E1"/>
    <w:rsid w:val="00E64BEC"/>
    <w:rsid w:val="00E671FF"/>
    <w:rsid w:val="00E67761"/>
    <w:rsid w:val="00E7025E"/>
    <w:rsid w:val="00E819B5"/>
    <w:rsid w:val="00E82C6F"/>
    <w:rsid w:val="00E84404"/>
    <w:rsid w:val="00E9320D"/>
    <w:rsid w:val="00E9711F"/>
    <w:rsid w:val="00EA2199"/>
    <w:rsid w:val="00EA7CC6"/>
    <w:rsid w:val="00EB4756"/>
    <w:rsid w:val="00EB5AF2"/>
    <w:rsid w:val="00EC0BED"/>
    <w:rsid w:val="00ED59DE"/>
    <w:rsid w:val="00ED69B3"/>
    <w:rsid w:val="00EE4BF2"/>
    <w:rsid w:val="00EE543C"/>
    <w:rsid w:val="00EF6CAE"/>
    <w:rsid w:val="00F0076D"/>
    <w:rsid w:val="00F0708F"/>
    <w:rsid w:val="00F234E7"/>
    <w:rsid w:val="00F45765"/>
    <w:rsid w:val="00F46872"/>
    <w:rsid w:val="00F5091A"/>
    <w:rsid w:val="00F519C2"/>
    <w:rsid w:val="00F530CB"/>
    <w:rsid w:val="00F53C55"/>
    <w:rsid w:val="00F54EA4"/>
    <w:rsid w:val="00F632FA"/>
    <w:rsid w:val="00F6704E"/>
    <w:rsid w:val="00FA0081"/>
    <w:rsid w:val="00FA5B6C"/>
    <w:rsid w:val="00FB2015"/>
    <w:rsid w:val="00FB247C"/>
    <w:rsid w:val="00FC1EE2"/>
    <w:rsid w:val="00FC213D"/>
    <w:rsid w:val="00FC40EE"/>
    <w:rsid w:val="00FC52E9"/>
    <w:rsid w:val="00FD01D6"/>
    <w:rsid w:val="00FD5BCF"/>
    <w:rsid w:val="00FE322C"/>
    <w:rsid w:val="00FF6197"/>
    <w:rsid w:val="00FF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03A7"/>
  <w15:chartTrackingRefBased/>
  <w15:docId w15:val="{4E42EA81-ACAE-4B65-8F02-7DDA40F4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130"/>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6130"/>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06130"/>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06130"/>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130"/>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130"/>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130"/>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13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13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130"/>
    <w:pPr>
      <w:ind w:left="720"/>
      <w:contextualSpacing/>
    </w:pPr>
  </w:style>
  <w:style w:type="character" w:customStyle="1" w:styleId="Heading2Char">
    <w:name w:val="Heading 2 Char"/>
    <w:basedOn w:val="DefaultParagraphFont"/>
    <w:link w:val="Heading2"/>
    <w:uiPriority w:val="9"/>
    <w:rsid w:val="0060613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061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613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0613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13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13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13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1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130"/>
    <w:rPr>
      <w:rFonts w:asciiTheme="majorHAnsi" w:eastAsiaTheme="majorEastAsia" w:hAnsiTheme="majorHAnsi" w:cstheme="majorBidi"/>
      <w:i/>
      <w:iCs/>
      <w:color w:val="272727" w:themeColor="text1" w:themeTint="D8"/>
      <w:sz w:val="21"/>
      <w:szCs w:val="21"/>
    </w:rPr>
  </w:style>
  <w:style w:type="character" w:styleId="CommentReference">
    <w:name w:val="annotation reference"/>
    <w:uiPriority w:val="99"/>
    <w:semiHidden/>
    <w:unhideWhenUsed/>
    <w:rsid w:val="002F63D9"/>
    <w:rPr>
      <w:sz w:val="16"/>
      <w:szCs w:val="16"/>
    </w:rPr>
  </w:style>
  <w:style w:type="paragraph" w:styleId="CommentText">
    <w:name w:val="annotation text"/>
    <w:basedOn w:val="Normal"/>
    <w:link w:val="CommentTextChar"/>
    <w:uiPriority w:val="99"/>
    <w:unhideWhenUsed/>
    <w:rsid w:val="002F63D9"/>
    <w:pPr>
      <w:spacing w:after="200" w:line="276"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2F63D9"/>
    <w:rPr>
      <w:rFonts w:ascii="Calibri" w:eastAsia="Calibri" w:hAnsi="Calibri" w:cs="Times New Roman"/>
      <w:kern w:val="0"/>
      <w:sz w:val="20"/>
      <w:szCs w:val="20"/>
      <w14:ligatures w14:val="none"/>
    </w:rPr>
  </w:style>
  <w:style w:type="paragraph" w:styleId="Revision">
    <w:name w:val="Revision"/>
    <w:hidden/>
    <w:uiPriority w:val="99"/>
    <w:semiHidden/>
    <w:rsid w:val="00B42FC2"/>
    <w:pPr>
      <w:spacing w:after="0" w:line="240" w:lineRule="auto"/>
    </w:pPr>
  </w:style>
  <w:style w:type="paragraph" w:styleId="CommentSubject">
    <w:name w:val="annotation subject"/>
    <w:basedOn w:val="CommentText"/>
    <w:next w:val="CommentText"/>
    <w:link w:val="CommentSubjectChar"/>
    <w:uiPriority w:val="99"/>
    <w:semiHidden/>
    <w:unhideWhenUsed/>
    <w:rsid w:val="00FD5BCF"/>
    <w:pPr>
      <w:spacing w:after="160" w:line="240" w:lineRule="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FD5BCF"/>
    <w:rPr>
      <w:rFonts w:ascii="Calibri" w:eastAsia="Calibri" w:hAnsi="Calibri" w:cs="Times New Roman"/>
      <w:b/>
      <w:bCs/>
      <w:kern w:val="0"/>
      <w:sz w:val="20"/>
      <w:szCs w:val="20"/>
      <w14:ligatures w14:val="none"/>
    </w:rPr>
  </w:style>
  <w:style w:type="paragraph" w:styleId="Header">
    <w:name w:val="header"/>
    <w:basedOn w:val="Normal"/>
    <w:link w:val="HeaderChar"/>
    <w:uiPriority w:val="99"/>
    <w:unhideWhenUsed/>
    <w:rsid w:val="008C6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86A"/>
  </w:style>
  <w:style w:type="paragraph" w:styleId="Footer">
    <w:name w:val="footer"/>
    <w:basedOn w:val="Normal"/>
    <w:link w:val="FooterChar"/>
    <w:uiPriority w:val="99"/>
    <w:unhideWhenUsed/>
    <w:rsid w:val="008C6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86A"/>
  </w:style>
  <w:style w:type="paragraph" w:styleId="FootnoteText">
    <w:name w:val="footnote text"/>
    <w:basedOn w:val="Normal"/>
    <w:link w:val="FootnoteTextChar"/>
    <w:uiPriority w:val="99"/>
    <w:semiHidden/>
    <w:unhideWhenUsed/>
    <w:rsid w:val="002D6B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6BFB"/>
    <w:rPr>
      <w:sz w:val="20"/>
      <w:szCs w:val="20"/>
    </w:rPr>
  </w:style>
  <w:style w:type="character" w:styleId="FootnoteReference">
    <w:name w:val="footnote reference"/>
    <w:basedOn w:val="DefaultParagraphFont"/>
    <w:uiPriority w:val="99"/>
    <w:semiHidden/>
    <w:unhideWhenUsed/>
    <w:rsid w:val="002D6BFB"/>
    <w:rPr>
      <w:vertAlign w:val="superscript"/>
    </w:rPr>
  </w:style>
  <w:style w:type="paragraph" w:customStyle="1" w:styleId="pf0">
    <w:name w:val="pf0"/>
    <w:basedOn w:val="Normal"/>
    <w:rsid w:val="00F530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F530CB"/>
    <w:rPr>
      <w:rFonts w:ascii="Segoe UI" w:hAnsi="Segoe UI" w:cs="Segoe UI" w:hint="default"/>
      <w:sz w:val="18"/>
      <w:szCs w:val="18"/>
    </w:rPr>
  </w:style>
  <w:style w:type="table" w:styleId="TableGrid">
    <w:name w:val="Table Grid"/>
    <w:basedOn w:val="TableNormal"/>
    <w:uiPriority w:val="39"/>
    <w:rsid w:val="00F530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345437">
      <w:bodyDiv w:val="1"/>
      <w:marLeft w:val="0"/>
      <w:marRight w:val="0"/>
      <w:marTop w:val="0"/>
      <w:marBottom w:val="0"/>
      <w:divBdr>
        <w:top w:val="none" w:sz="0" w:space="0" w:color="auto"/>
        <w:left w:val="none" w:sz="0" w:space="0" w:color="auto"/>
        <w:bottom w:val="none" w:sz="0" w:space="0" w:color="auto"/>
        <w:right w:val="none" w:sz="0" w:space="0" w:color="auto"/>
      </w:divBdr>
      <w:divsChild>
        <w:div w:id="317613663">
          <w:marLeft w:val="720"/>
          <w:marRight w:val="0"/>
          <w:marTop w:val="106"/>
          <w:marBottom w:val="0"/>
          <w:divBdr>
            <w:top w:val="none" w:sz="0" w:space="0" w:color="auto"/>
            <w:left w:val="none" w:sz="0" w:space="0" w:color="auto"/>
            <w:bottom w:val="none" w:sz="0" w:space="0" w:color="auto"/>
            <w:right w:val="none" w:sz="0" w:space="0" w:color="auto"/>
          </w:divBdr>
        </w:div>
        <w:div w:id="1150051818">
          <w:marLeft w:val="1440"/>
          <w:marRight w:val="0"/>
          <w:marTop w:val="96"/>
          <w:marBottom w:val="0"/>
          <w:divBdr>
            <w:top w:val="none" w:sz="0" w:space="0" w:color="auto"/>
            <w:left w:val="none" w:sz="0" w:space="0" w:color="auto"/>
            <w:bottom w:val="none" w:sz="0" w:space="0" w:color="auto"/>
            <w:right w:val="none" w:sz="0" w:space="0" w:color="auto"/>
          </w:divBdr>
        </w:div>
        <w:div w:id="1274946594">
          <w:marLeft w:val="1440"/>
          <w:marRight w:val="0"/>
          <w:marTop w:val="96"/>
          <w:marBottom w:val="0"/>
          <w:divBdr>
            <w:top w:val="none" w:sz="0" w:space="0" w:color="auto"/>
            <w:left w:val="none" w:sz="0" w:space="0" w:color="auto"/>
            <w:bottom w:val="none" w:sz="0" w:space="0" w:color="auto"/>
            <w:right w:val="none" w:sz="0" w:space="0" w:color="auto"/>
          </w:divBdr>
        </w:div>
        <w:div w:id="379136830">
          <w:marLeft w:val="1440"/>
          <w:marRight w:val="0"/>
          <w:marTop w:val="96"/>
          <w:marBottom w:val="0"/>
          <w:divBdr>
            <w:top w:val="none" w:sz="0" w:space="0" w:color="auto"/>
            <w:left w:val="none" w:sz="0" w:space="0" w:color="auto"/>
            <w:bottom w:val="none" w:sz="0" w:space="0" w:color="auto"/>
            <w:right w:val="none" w:sz="0" w:space="0" w:color="auto"/>
          </w:divBdr>
        </w:div>
        <w:div w:id="638387759">
          <w:marLeft w:val="720"/>
          <w:marRight w:val="0"/>
          <w:marTop w:val="106"/>
          <w:marBottom w:val="0"/>
          <w:divBdr>
            <w:top w:val="none" w:sz="0" w:space="0" w:color="auto"/>
            <w:left w:val="none" w:sz="0" w:space="0" w:color="auto"/>
            <w:bottom w:val="none" w:sz="0" w:space="0" w:color="auto"/>
            <w:right w:val="none" w:sz="0" w:space="0" w:color="auto"/>
          </w:divBdr>
        </w:div>
        <w:div w:id="205721576">
          <w:marLeft w:val="1440"/>
          <w:marRight w:val="0"/>
          <w:marTop w:val="96"/>
          <w:marBottom w:val="0"/>
          <w:divBdr>
            <w:top w:val="none" w:sz="0" w:space="0" w:color="auto"/>
            <w:left w:val="none" w:sz="0" w:space="0" w:color="auto"/>
            <w:bottom w:val="none" w:sz="0" w:space="0" w:color="auto"/>
            <w:right w:val="none" w:sz="0" w:space="0" w:color="auto"/>
          </w:divBdr>
        </w:div>
        <w:div w:id="1707175589">
          <w:marLeft w:val="1440"/>
          <w:marRight w:val="0"/>
          <w:marTop w:val="96"/>
          <w:marBottom w:val="0"/>
          <w:divBdr>
            <w:top w:val="none" w:sz="0" w:space="0" w:color="auto"/>
            <w:left w:val="none" w:sz="0" w:space="0" w:color="auto"/>
            <w:bottom w:val="none" w:sz="0" w:space="0" w:color="auto"/>
            <w:right w:val="none" w:sz="0" w:space="0" w:color="auto"/>
          </w:divBdr>
        </w:div>
        <w:div w:id="218174111">
          <w:marLeft w:val="1440"/>
          <w:marRight w:val="0"/>
          <w:marTop w:val="96"/>
          <w:marBottom w:val="0"/>
          <w:divBdr>
            <w:top w:val="none" w:sz="0" w:space="0" w:color="auto"/>
            <w:left w:val="none" w:sz="0" w:space="0" w:color="auto"/>
            <w:bottom w:val="none" w:sz="0" w:space="0" w:color="auto"/>
            <w:right w:val="none" w:sz="0" w:space="0" w:color="auto"/>
          </w:divBdr>
        </w:div>
        <w:div w:id="1728721508">
          <w:marLeft w:val="1440"/>
          <w:marRight w:val="0"/>
          <w:marTop w:val="96"/>
          <w:marBottom w:val="0"/>
          <w:divBdr>
            <w:top w:val="none" w:sz="0" w:space="0" w:color="auto"/>
            <w:left w:val="none" w:sz="0" w:space="0" w:color="auto"/>
            <w:bottom w:val="none" w:sz="0" w:space="0" w:color="auto"/>
            <w:right w:val="none" w:sz="0" w:space="0" w:color="auto"/>
          </w:divBdr>
        </w:div>
        <w:div w:id="852570434">
          <w:marLeft w:val="1440"/>
          <w:marRight w:val="0"/>
          <w:marTop w:val="96"/>
          <w:marBottom w:val="0"/>
          <w:divBdr>
            <w:top w:val="none" w:sz="0" w:space="0" w:color="auto"/>
            <w:left w:val="none" w:sz="0" w:space="0" w:color="auto"/>
            <w:bottom w:val="none" w:sz="0" w:space="0" w:color="auto"/>
            <w:right w:val="none" w:sz="0" w:space="0" w:color="auto"/>
          </w:divBdr>
        </w:div>
        <w:div w:id="1753889146">
          <w:marLeft w:val="1440"/>
          <w:marRight w:val="0"/>
          <w:marTop w:val="96"/>
          <w:marBottom w:val="0"/>
          <w:divBdr>
            <w:top w:val="none" w:sz="0" w:space="0" w:color="auto"/>
            <w:left w:val="none" w:sz="0" w:space="0" w:color="auto"/>
            <w:bottom w:val="none" w:sz="0" w:space="0" w:color="auto"/>
            <w:right w:val="none" w:sz="0" w:space="0" w:color="auto"/>
          </w:divBdr>
        </w:div>
        <w:div w:id="470484237">
          <w:marLeft w:val="1440"/>
          <w:marRight w:val="0"/>
          <w:marTop w:val="96"/>
          <w:marBottom w:val="0"/>
          <w:divBdr>
            <w:top w:val="none" w:sz="0" w:space="0" w:color="auto"/>
            <w:left w:val="none" w:sz="0" w:space="0" w:color="auto"/>
            <w:bottom w:val="none" w:sz="0" w:space="0" w:color="auto"/>
            <w:right w:val="none" w:sz="0" w:space="0" w:color="auto"/>
          </w:divBdr>
        </w:div>
        <w:div w:id="1168516735">
          <w:marLeft w:val="720"/>
          <w:marRight w:val="0"/>
          <w:marTop w:val="106"/>
          <w:marBottom w:val="0"/>
          <w:divBdr>
            <w:top w:val="none" w:sz="0" w:space="0" w:color="auto"/>
            <w:left w:val="none" w:sz="0" w:space="0" w:color="auto"/>
            <w:bottom w:val="none" w:sz="0" w:space="0" w:color="auto"/>
            <w:right w:val="none" w:sz="0" w:space="0" w:color="auto"/>
          </w:divBdr>
        </w:div>
        <w:div w:id="1217429007">
          <w:marLeft w:val="144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917F87E-D9D0-4221-BF00-E9C767497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3897</Words>
  <Characters>22217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Lesley A Weitz</dc:creator>
  <cp:keywords/>
  <dc:description/>
  <cp:lastModifiedBy>Michael Lagana</cp:lastModifiedBy>
  <cp:revision>3</cp:revision>
  <dcterms:created xsi:type="dcterms:W3CDTF">2026-03-23T13:57:00Z</dcterms:created>
  <dcterms:modified xsi:type="dcterms:W3CDTF">2026-03-23T16:12:00Z</dcterms:modified>
</cp:coreProperties>
</file>